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810AF" w14:textId="77777777" w:rsidR="004A27EE" w:rsidRPr="00ED1038" w:rsidRDefault="004A27EE" w:rsidP="004A27EE">
      <w:pPr>
        <w:tabs>
          <w:tab w:val="left" w:pos="1985"/>
        </w:tabs>
        <w:spacing w:after="0" w:line="240" w:lineRule="auto"/>
        <w:rPr>
          <w:rFonts w:ascii="Arial" w:eastAsia="Times New Roman" w:hAnsi="Arial" w:cs="Arial"/>
          <w:b/>
          <w:sz w:val="20"/>
          <w:szCs w:val="20"/>
        </w:rPr>
      </w:pPr>
      <w:r w:rsidRPr="00ED1038">
        <w:rPr>
          <w:rFonts w:ascii="Arial" w:eastAsia="Times New Roman" w:hAnsi="Arial" w:cs="Arial"/>
          <w:b/>
          <w:sz w:val="20"/>
          <w:szCs w:val="20"/>
        </w:rPr>
        <w:t>REPORT TO:</w:t>
      </w:r>
      <w:r w:rsidRPr="00ED1038">
        <w:rPr>
          <w:rFonts w:ascii="Arial" w:eastAsia="Times New Roman" w:hAnsi="Arial" w:cs="Arial"/>
          <w:b/>
          <w:sz w:val="20"/>
          <w:szCs w:val="20"/>
        </w:rPr>
        <w:tab/>
        <w:t xml:space="preserve">NEIGHBOURHOOD SERVICES COMMITTEE – </w:t>
      </w:r>
      <w:r w:rsidR="003437F9" w:rsidRPr="00ED1038">
        <w:rPr>
          <w:rFonts w:ascii="Arial" w:eastAsia="Times New Roman" w:hAnsi="Arial" w:cs="Arial"/>
          <w:b/>
          <w:sz w:val="20"/>
          <w:szCs w:val="20"/>
        </w:rPr>
        <w:t>2</w:t>
      </w:r>
      <w:r w:rsidR="00061415" w:rsidRPr="00ED1038">
        <w:rPr>
          <w:rFonts w:ascii="Arial" w:eastAsia="Times New Roman" w:hAnsi="Arial" w:cs="Arial"/>
          <w:b/>
          <w:sz w:val="20"/>
          <w:szCs w:val="20"/>
        </w:rPr>
        <w:t>5</w:t>
      </w:r>
      <w:r w:rsidR="00BF39E0" w:rsidRPr="00ED1038">
        <w:rPr>
          <w:rFonts w:ascii="Arial" w:eastAsia="Times New Roman" w:hAnsi="Arial" w:cs="Arial"/>
          <w:b/>
          <w:sz w:val="20"/>
          <w:szCs w:val="20"/>
        </w:rPr>
        <w:t xml:space="preserve"> OCTOBER 20</w:t>
      </w:r>
      <w:r w:rsidR="00A35FB3" w:rsidRPr="00ED1038">
        <w:rPr>
          <w:rFonts w:ascii="Arial" w:eastAsia="Times New Roman" w:hAnsi="Arial" w:cs="Arial"/>
          <w:b/>
          <w:sz w:val="20"/>
          <w:szCs w:val="20"/>
        </w:rPr>
        <w:t>2</w:t>
      </w:r>
      <w:r w:rsidR="00061415" w:rsidRPr="00ED1038">
        <w:rPr>
          <w:rFonts w:ascii="Arial" w:eastAsia="Times New Roman" w:hAnsi="Arial" w:cs="Arial"/>
          <w:b/>
          <w:sz w:val="20"/>
          <w:szCs w:val="20"/>
        </w:rPr>
        <w:t>1</w:t>
      </w:r>
    </w:p>
    <w:p w14:paraId="2284EF07" w14:textId="77777777" w:rsidR="004A27EE" w:rsidRPr="00ED1038" w:rsidRDefault="004A27EE" w:rsidP="004A27EE">
      <w:pPr>
        <w:tabs>
          <w:tab w:val="left" w:pos="1985"/>
        </w:tabs>
        <w:spacing w:after="0" w:line="240" w:lineRule="auto"/>
        <w:rPr>
          <w:rFonts w:ascii="Arial" w:eastAsia="Times New Roman" w:hAnsi="Arial" w:cs="Arial"/>
          <w:b/>
          <w:sz w:val="20"/>
          <w:szCs w:val="20"/>
        </w:rPr>
      </w:pPr>
    </w:p>
    <w:p w14:paraId="60D2B722" w14:textId="77777777" w:rsidR="004A27EE" w:rsidRPr="00ED1038" w:rsidRDefault="004A27EE" w:rsidP="004A27EE">
      <w:pPr>
        <w:tabs>
          <w:tab w:val="left" w:pos="1985"/>
        </w:tabs>
        <w:spacing w:after="0" w:line="240" w:lineRule="auto"/>
        <w:rPr>
          <w:rFonts w:ascii="Arial" w:eastAsia="Times New Roman" w:hAnsi="Arial" w:cs="Arial"/>
          <w:b/>
          <w:sz w:val="20"/>
          <w:szCs w:val="20"/>
        </w:rPr>
      </w:pPr>
      <w:r w:rsidRPr="00ED1038">
        <w:rPr>
          <w:rFonts w:ascii="Arial" w:eastAsia="Times New Roman" w:hAnsi="Arial" w:cs="Arial"/>
          <w:b/>
          <w:sz w:val="20"/>
          <w:szCs w:val="20"/>
        </w:rPr>
        <w:t>REPORT ON:</w:t>
      </w:r>
      <w:r w:rsidRPr="00ED1038">
        <w:rPr>
          <w:rFonts w:ascii="Arial" w:eastAsia="Times New Roman" w:hAnsi="Arial" w:cs="Arial"/>
          <w:b/>
          <w:sz w:val="20"/>
          <w:szCs w:val="20"/>
        </w:rPr>
        <w:tab/>
        <w:t>REVIEW OF RENTS AND OTHER HOUSING CHARGES</w:t>
      </w:r>
    </w:p>
    <w:p w14:paraId="0EC87A28" w14:textId="77777777" w:rsidR="004A27EE" w:rsidRPr="00ED1038" w:rsidRDefault="004A27EE" w:rsidP="004A27EE">
      <w:pPr>
        <w:tabs>
          <w:tab w:val="left" w:pos="1985"/>
        </w:tabs>
        <w:spacing w:after="0" w:line="240" w:lineRule="auto"/>
        <w:rPr>
          <w:rFonts w:ascii="Arial" w:eastAsia="Times New Roman" w:hAnsi="Arial" w:cs="Arial"/>
          <w:b/>
          <w:sz w:val="20"/>
          <w:szCs w:val="20"/>
        </w:rPr>
      </w:pPr>
    </w:p>
    <w:p w14:paraId="3C030C1A" w14:textId="77777777" w:rsidR="004A27EE" w:rsidRPr="00ED1038" w:rsidRDefault="004A27EE" w:rsidP="004A27EE">
      <w:pPr>
        <w:tabs>
          <w:tab w:val="left" w:pos="1985"/>
        </w:tabs>
        <w:spacing w:after="0" w:line="240" w:lineRule="auto"/>
        <w:rPr>
          <w:rFonts w:ascii="Arial" w:eastAsia="Times New Roman" w:hAnsi="Arial" w:cs="Arial"/>
          <w:b/>
          <w:sz w:val="20"/>
          <w:szCs w:val="20"/>
        </w:rPr>
      </w:pPr>
      <w:r w:rsidRPr="00ED1038">
        <w:rPr>
          <w:rFonts w:ascii="Arial" w:eastAsia="Times New Roman" w:hAnsi="Arial" w:cs="Arial"/>
          <w:b/>
          <w:sz w:val="20"/>
          <w:szCs w:val="20"/>
        </w:rPr>
        <w:t>REPORT BY:</w:t>
      </w:r>
      <w:r w:rsidRPr="00ED1038">
        <w:rPr>
          <w:rFonts w:ascii="Arial" w:eastAsia="Times New Roman" w:hAnsi="Arial" w:cs="Arial"/>
          <w:b/>
          <w:sz w:val="20"/>
          <w:szCs w:val="20"/>
        </w:rPr>
        <w:tab/>
        <w:t>EXECUTIVE DIRECTOR OF NEIGHBOURHOOD SERVICES</w:t>
      </w:r>
    </w:p>
    <w:p w14:paraId="5BF4046E" w14:textId="77777777" w:rsidR="004A27EE" w:rsidRPr="00ED1038" w:rsidRDefault="004A27EE" w:rsidP="004A27EE">
      <w:pPr>
        <w:tabs>
          <w:tab w:val="left" w:pos="1985"/>
        </w:tabs>
        <w:spacing w:after="0" w:line="240" w:lineRule="auto"/>
        <w:rPr>
          <w:rFonts w:ascii="Arial" w:eastAsia="Times New Roman" w:hAnsi="Arial" w:cs="Arial"/>
          <w:b/>
          <w:sz w:val="20"/>
          <w:szCs w:val="20"/>
        </w:rPr>
      </w:pPr>
    </w:p>
    <w:p w14:paraId="3B5AD8A3" w14:textId="151347C0" w:rsidR="00E04312" w:rsidRPr="00ED1038" w:rsidRDefault="004A27EE" w:rsidP="00E04312">
      <w:pPr>
        <w:tabs>
          <w:tab w:val="left" w:pos="1985"/>
        </w:tabs>
        <w:spacing w:after="0" w:line="240" w:lineRule="auto"/>
        <w:rPr>
          <w:rFonts w:ascii="Arial" w:eastAsia="Times New Roman" w:hAnsi="Arial" w:cs="Arial"/>
          <w:sz w:val="20"/>
          <w:szCs w:val="20"/>
        </w:rPr>
      </w:pPr>
      <w:r w:rsidRPr="00ED1038">
        <w:rPr>
          <w:rFonts w:ascii="Arial" w:eastAsia="Times New Roman" w:hAnsi="Arial" w:cs="Arial"/>
          <w:b/>
          <w:sz w:val="20"/>
          <w:szCs w:val="20"/>
        </w:rPr>
        <w:t>REPORT NO:</w:t>
      </w:r>
      <w:r w:rsidRPr="00ED1038">
        <w:rPr>
          <w:rFonts w:ascii="Arial" w:eastAsia="Times New Roman" w:hAnsi="Arial" w:cs="Arial"/>
          <w:b/>
          <w:sz w:val="20"/>
          <w:szCs w:val="20"/>
        </w:rPr>
        <w:tab/>
      </w:r>
      <w:r w:rsidR="009950AE" w:rsidRPr="00ED1038">
        <w:rPr>
          <w:rFonts w:ascii="Arial" w:eastAsia="Times New Roman" w:hAnsi="Arial" w:cs="Arial"/>
          <w:b/>
          <w:sz w:val="20"/>
          <w:szCs w:val="20"/>
        </w:rPr>
        <w:t>277</w:t>
      </w:r>
      <w:r w:rsidR="00D66674" w:rsidRPr="00ED1038">
        <w:rPr>
          <w:rFonts w:ascii="Arial" w:eastAsia="Times New Roman" w:hAnsi="Arial" w:cs="Arial"/>
          <w:b/>
          <w:sz w:val="20"/>
          <w:szCs w:val="20"/>
        </w:rPr>
        <w:t>-20</w:t>
      </w:r>
      <w:r w:rsidR="00A35FB3" w:rsidRPr="00ED1038">
        <w:rPr>
          <w:rFonts w:ascii="Arial" w:eastAsia="Times New Roman" w:hAnsi="Arial" w:cs="Arial"/>
          <w:b/>
          <w:sz w:val="20"/>
          <w:szCs w:val="20"/>
        </w:rPr>
        <w:t>2</w:t>
      </w:r>
      <w:r w:rsidR="00061415" w:rsidRPr="00ED1038">
        <w:rPr>
          <w:rFonts w:ascii="Arial" w:eastAsia="Times New Roman" w:hAnsi="Arial" w:cs="Arial"/>
          <w:b/>
          <w:sz w:val="20"/>
          <w:szCs w:val="20"/>
        </w:rPr>
        <w:t>1</w:t>
      </w:r>
    </w:p>
    <w:p w14:paraId="2735B58A" w14:textId="77777777" w:rsidR="00E04312" w:rsidRPr="00ED1038" w:rsidRDefault="00E04312" w:rsidP="00E04312">
      <w:pPr>
        <w:spacing w:after="0" w:line="240" w:lineRule="auto"/>
        <w:rPr>
          <w:rFonts w:ascii="Arial" w:eastAsia="Times New Roman" w:hAnsi="Arial" w:cs="Arial"/>
          <w:sz w:val="20"/>
          <w:szCs w:val="20"/>
        </w:rPr>
      </w:pPr>
    </w:p>
    <w:p w14:paraId="52823E2E" w14:textId="77777777" w:rsidR="00A77E05" w:rsidRPr="00ED1038" w:rsidRDefault="00A77E05" w:rsidP="00E04312">
      <w:pPr>
        <w:spacing w:after="0" w:line="240" w:lineRule="auto"/>
        <w:rPr>
          <w:rFonts w:ascii="Arial" w:eastAsia="Times New Roman" w:hAnsi="Arial" w:cs="Arial"/>
          <w:sz w:val="20"/>
          <w:szCs w:val="20"/>
        </w:rPr>
      </w:pPr>
    </w:p>
    <w:p w14:paraId="69985CC0" w14:textId="77777777" w:rsidR="00E04312" w:rsidRPr="00ED1038" w:rsidRDefault="00E04312" w:rsidP="00441D26">
      <w:pPr>
        <w:numPr>
          <w:ilvl w:val="0"/>
          <w:numId w:val="3"/>
        </w:numPr>
        <w:tabs>
          <w:tab w:val="clear" w:pos="567"/>
          <w:tab w:val="left" w:pos="851"/>
          <w:tab w:val="left" w:pos="1152"/>
          <w:tab w:val="left" w:pos="2304"/>
          <w:tab w:val="left" w:pos="2880"/>
          <w:tab w:val="left" w:pos="8647"/>
        </w:tabs>
        <w:spacing w:after="0" w:line="240" w:lineRule="auto"/>
        <w:ind w:left="720" w:hanging="720"/>
        <w:rPr>
          <w:rFonts w:ascii="Arial" w:eastAsia="Times New Roman" w:hAnsi="Arial" w:cs="Arial"/>
          <w:b/>
          <w:sz w:val="20"/>
          <w:szCs w:val="20"/>
        </w:rPr>
      </w:pPr>
      <w:r w:rsidRPr="00ED1038">
        <w:rPr>
          <w:rFonts w:ascii="Arial" w:eastAsia="Times New Roman" w:hAnsi="Arial" w:cs="Arial"/>
          <w:b/>
          <w:sz w:val="20"/>
          <w:szCs w:val="20"/>
        </w:rPr>
        <w:t>PURPOSE OF REPORT</w:t>
      </w:r>
      <w:r w:rsidRPr="00ED1038">
        <w:rPr>
          <w:rFonts w:ascii="Arial" w:eastAsia="Times New Roman" w:hAnsi="Arial" w:cs="Arial"/>
          <w:b/>
          <w:sz w:val="20"/>
          <w:szCs w:val="20"/>
        </w:rPr>
        <w:br/>
      </w:r>
    </w:p>
    <w:p w14:paraId="152B1D20" w14:textId="77777777" w:rsidR="001850FB" w:rsidRPr="00ED1038" w:rsidRDefault="004A27EE" w:rsidP="00441D26">
      <w:pPr>
        <w:pStyle w:val="ListParagraph"/>
        <w:numPr>
          <w:ilvl w:val="1"/>
          <w:numId w:val="3"/>
        </w:numPr>
        <w:tabs>
          <w:tab w:val="left" w:pos="1152"/>
          <w:tab w:val="left" w:pos="2304"/>
          <w:tab w:val="left" w:pos="2880"/>
          <w:tab w:val="left" w:pos="8647"/>
        </w:tabs>
        <w:spacing w:after="0" w:line="240" w:lineRule="auto"/>
        <w:ind w:left="720" w:hanging="720"/>
        <w:jc w:val="both"/>
        <w:rPr>
          <w:rFonts w:ascii="Arial" w:eastAsia="Times New Roman" w:hAnsi="Arial" w:cs="Arial"/>
          <w:color w:val="000000" w:themeColor="text1"/>
          <w:sz w:val="20"/>
          <w:szCs w:val="20"/>
        </w:rPr>
      </w:pPr>
      <w:r w:rsidRPr="00ED1038">
        <w:rPr>
          <w:rFonts w:ascii="Arial" w:eastAsia="Times New Roman" w:hAnsi="Arial" w:cs="Arial"/>
          <w:color w:val="000000" w:themeColor="text1"/>
          <w:sz w:val="20"/>
          <w:szCs w:val="20"/>
        </w:rPr>
        <w:t>The purpose of this report is to set out the proposed rent and other housing charges for the financial year 20</w:t>
      </w:r>
      <w:r w:rsidR="008D4F84" w:rsidRPr="00ED1038">
        <w:rPr>
          <w:rFonts w:ascii="Arial" w:eastAsia="Times New Roman" w:hAnsi="Arial" w:cs="Arial"/>
          <w:color w:val="000000" w:themeColor="text1"/>
          <w:sz w:val="20"/>
          <w:szCs w:val="20"/>
        </w:rPr>
        <w:t>2</w:t>
      </w:r>
      <w:r w:rsidR="00061415" w:rsidRPr="00ED1038">
        <w:rPr>
          <w:rFonts w:ascii="Arial" w:eastAsia="Times New Roman" w:hAnsi="Arial" w:cs="Arial"/>
          <w:color w:val="000000" w:themeColor="text1"/>
          <w:sz w:val="20"/>
          <w:szCs w:val="20"/>
        </w:rPr>
        <w:t>2</w:t>
      </w:r>
      <w:r w:rsidR="00266609" w:rsidRPr="00ED1038">
        <w:rPr>
          <w:rFonts w:ascii="Arial" w:eastAsia="Times New Roman" w:hAnsi="Arial" w:cs="Arial"/>
          <w:color w:val="000000" w:themeColor="text1"/>
          <w:sz w:val="20"/>
          <w:szCs w:val="20"/>
        </w:rPr>
        <w:t>/</w:t>
      </w:r>
      <w:r w:rsidR="008D4F84" w:rsidRPr="00ED1038">
        <w:rPr>
          <w:rFonts w:ascii="Arial" w:eastAsia="Times New Roman" w:hAnsi="Arial" w:cs="Arial"/>
          <w:color w:val="000000" w:themeColor="text1"/>
          <w:sz w:val="20"/>
          <w:szCs w:val="20"/>
        </w:rPr>
        <w:t>2</w:t>
      </w:r>
      <w:r w:rsidR="00061415" w:rsidRPr="00ED1038">
        <w:rPr>
          <w:rFonts w:ascii="Arial" w:eastAsia="Times New Roman" w:hAnsi="Arial" w:cs="Arial"/>
          <w:color w:val="000000" w:themeColor="text1"/>
          <w:sz w:val="20"/>
          <w:szCs w:val="20"/>
        </w:rPr>
        <w:t>3</w:t>
      </w:r>
      <w:r w:rsidRPr="00ED1038">
        <w:rPr>
          <w:rFonts w:ascii="Arial" w:eastAsia="Times New Roman" w:hAnsi="Arial" w:cs="Arial"/>
          <w:color w:val="000000" w:themeColor="text1"/>
          <w:sz w:val="20"/>
          <w:szCs w:val="20"/>
        </w:rPr>
        <w:t xml:space="preserve"> and</w:t>
      </w:r>
      <w:r w:rsidR="00E04312" w:rsidRPr="00ED1038">
        <w:rPr>
          <w:rFonts w:ascii="Arial" w:eastAsia="Times New Roman" w:hAnsi="Arial" w:cs="Arial"/>
          <w:color w:val="000000" w:themeColor="text1"/>
          <w:sz w:val="20"/>
          <w:szCs w:val="20"/>
        </w:rPr>
        <w:t xml:space="preserve"> seek approval to consult with tenants on the</w:t>
      </w:r>
      <w:r w:rsidRPr="00ED1038">
        <w:rPr>
          <w:rFonts w:ascii="Arial" w:eastAsia="Times New Roman" w:hAnsi="Arial" w:cs="Arial"/>
          <w:color w:val="000000" w:themeColor="text1"/>
          <w:sz w:val="20"/>
          <w:szCs w:val="20"/>
        </w:rPr>
        <w:t>se</w:t>
      </w:r>
      <w:r w:rsidR="00C326F1" w:rsidRPr="00ED1038">
        <w:rPr>
          <w:rFonts w:ascii="Arial" w:eastAsia="Times New Roman" w:hAnsi="Arial" w:cs="Arial"/>
          <w:color w:val="000000" w:themeColor="text1"/>
          <w:sz w:val="20"/>
          <w:szCs w:val="20"/>
        </w:rPr>
        <w:t xml:space="preserve"> proposals</w:t>
      </w:r>
      <w:r w:rsidR="00E04312" w:rsidRPr="00ED1038">
        <w:rPr>
          <w:rFonts w:ascii="Arial" w:eastAsia="Times New Roman" w:hAnsi="Arial" w:cs="Arial"/>
          <w:color w:val="000000" w:themeColor="text1"/>
          <w:sz w:val="20"/>
          <w:szCs w:val="20"/>
        </w:rPr>
        <w:t>.</w:t>
      </w:r>
    </w:p>
    <w:p w14:paraId="32091344" w14:textId="77777777" w:rsidR="00A77E05" w:rsidRPr="00ED1038" w:rsidRDefault="00A77E05" w:rsidP="00441D26">
      <w:pPr>
        <w:pStyle w:val="ListParagraph"/>
        <w:tabs>
          <w:tab w:val="left" w:pos="1152"/>
          <w:tab w:val="left" w:pos="2304"/>
          <w:tab w:val="left" w:pos="2880"/>
          <w:tab w:val="left" w:pos="8647"/>
        </w:tabs>
        <w:spacing w:after="0" w:line="240" w:lineRule="auto"/>
        <w:ind w:hanging="720"/>
        <w:jc w:val="both"/>
        <w:rPr>
          <w:rFonts w:ascii="Arial" w:eastAsia="Times New Roman" w:hAnsi="Arial" w:cs="Arial"/>
          <w:sz w:val="20"/>
          <w:szCs w:val="20"/>
        </w:rPr>
      </w:pPr>
    </w:p>
    <w:p w14:paraId="2134EBDA" w14:textId="77777777" w:rsidR="00E04312" w:rsidRPr="00ED1038" w:rsidRDefault="00E04312" w:rsidP="00441D26">
      <w:pPr>
        <w:tabs>
          <w:tab w:val="left" w:pos="1152"/>
          <w:tab w:val="left" w:pos="2304"/>
          <w:tab w:val="left" w:pos="2880"/>
          <w:tab w:val="left" w:pos="8647"/>
        </w:tabs>
        <w:spacing w:after="0" w:line="240" w:lineRule="auto"/>
        <w:ind w:left="720" w:hanging="720"/>
        <w:jc w:val="both"/>
        <w:rPr>
          <w:rFonts w:ascii="Arial" w:eastAsia="Times New Roman" w:hAnsi="Arial" w:cs="Arial"/>
          <w:sz w:val="20"/>
          <w:szCs w:val="20"/>
        </w:rPr>
      </w:pPr>
    </w:p>
    <w:p w14:paraId="0648BD00" w14:textId="77777777" w:rsidR="00E04312" w:rsidRPr="00ED1038" w:rsidRDefault="00E04312" w:rsidP="00441D26">
      <w:pPr>
        <w:numPr>
          <w:ilvl w:val="0"/>
          <w:numId w:val="3"/>
        </w:numPr>
        <w:tabs>
          <w:tab w:val="clear" w:pos="567"/>
          <w:tab w:val="left" w:pos="851"/>
          <w:tab w:val="left" w:pos="1152"/>
          <w:tab w:val="left" w:pos="2304"/>
          <w:tab w:val="left" w:pos="2880"/>
          <w:tab w:val="left" w:pos="8647"/>
        </w:tabs>
        <w:spacing w:after="0" w:line="240" w:lineRule="auto"/>
        <w:ind w:left="720" w:hanging="720"/>
        <w:jc w:val="both"/>
        <w:rPr>
          <w:rFonts w:ascii="Arial" w:eastAsia="Times New Roman" w:hAnsi="Arial" w:cs="Arial"/>
          <w:b/>
          <w:sz w:val="20"/>
          <w:szCs w:val="20"/>
        </w:rPr>
      </w:pPr>
      <w:r w:rsidRPr="00ED1038">
        <w:rPr>
          <w:rFonts w:ascii="Arial" w:eastAsia="Times New Roman" w:hAnsi="Arial" w:cs="Arial"/>
          <w:b/>
          <w:sz w:val="20"/>
          <w:szCs w:val="20"/>
        </w:rPr>
        <w:t>RECOMMENDATIONS</w:t>
      </w:r>
      <w:r w:rsidRPr="00ED1038">
        <w:rPr>
          <w:rFonts w:ascii="Arial" w:eastAsia="Times New Roman" w:hAnsi="Arial" w:cs="Arial"/>
          <w:b/>
          <w:sz w:val="20"/>
          <w:szCs w:val="20"/>
        </w:rPr>
        <w:br/>
      </w:r>
    </w:p>
    <w:p w14:paraId="2F876252" w14:textId="77777777" w:rsidR="00E04312" w:rsidRPr="00ED1038" w:rsidRDefault="00E04312" w:rsidP="00441D26">
      <w:pPr>
        <w:numPr>
          <w:ilvl w:val="1"/>
          <w:numId w:val="3"/>
        </w:numPr>
        <w:tabs>
          <w:tab w:val="left" w:pos="1152"/>
          <w:tab w:val="left" w:pos="2304"/>
          <w:tab w:val="left" w:pos="2880"/>
          <w:tab w:val="left" w:pos="8647"/>
        </w:tabs>
        <w:spacing w:after="0" w:line="240" w:lineRule="auto"/>
        <w:ind w:left="720" w:hanging="720"/>
        <w:rPr>
          <w:rFonts w:ascii="Arial" w:eastAsia="Times New Roman" w:hAnsi="Arial" w:cs="Arial"/>
          <w:sz w:val="20"/>
          <w:szCs w:val="20"/>
        </w:rPr>
      </w:pPr>
      <w:r w:rsidRPr="00ED1038">
        <w:rPr>
          <w:rFonts w:ascii="Arial" w:eastAsia="Times New Roman" w:hAnsi="Arial" w:cs="Arial"/>
          <w:sz w:val="20"/>
          <w:szCs w:val="20"/>
        </w:rPr>
        <w:t>It is recommended that Committee:</w:t>
      </w:r>
      <w:r w:rsidRPr="00ED1038">
        <w:rPr>
          <w:rFonts w:ascii="Arial" w:eastAsia="Times New Roman" w:hAnsi="Arial" w:cs="Arial"/>
          <w:sz w:val="20"/>
          <w:szCs w:val="20"/>
        </w:rPr>
        <w:br/>
      </w:r>
    </w:p>
    <w:p w14:paraId="77D3BBE7" w14:textId="4E4794E7" w:rsidR="00F81F55" w:rsidRPr="00ED1038" w:rsidRDefault="00E04312" w:rsidP="00441D26">
      <w:pPr>
        <w:numPr>
          <w:ilvl w:val="2"/>
          <w:numId w:val="3"/>
        </w:numPr>
        <w:tabs>
          <w:tab w:val="left" w:pos="567"/>
          <w:tab w:val="left" w:pos="1260"/>
          <w:tab w:val="left" w:pos="2304"/>
          <w:tab w:val="left" w:pos="2880"/>
          <w:tab w:val="left" w:pos="8647"/>
        </w:tabs>
        <w:spacing w:after="0" w:line="240" w:lineRule="auto"/>
        <w:ind w:left="1260" w:hanging="540"/>
        <w:jc w:val="both"/>
        <w:rPr>
          <w:rFonts w:ascii="Arial" w:eastAsia="Times New Roman" w:hAnsi="Arial" w:cs="Arial"/>
          <w:color w:val="000000" w:themeColor="text1"/>
          <w:sz w:val="20"/>
          <w:szCs w:val="20"/>
        </w:rPr>
      </w:pPr>
      <w:r w:rsidRPr="00ED1038">
        <w:rPr>
          <w:rFonts w:ascii="Arial" w:eastAsia="Times New Roman" w:hAnsi="Arial" w:cs="Arial"/>
          <w:color w:val="000000" w:themeColor="text1"/>
          <w:sz w:val="20"/>
          <w:szCs w:val="20"/>
        </w:rPr>
        <w:t xml:space="preserve">approve that the </w:t>
      </w:r>
      <w:r w:rsidR="0086294E" w:rsidRPr="00ED1038">
        <w:rPr>
          <w:rFonts w:ascii="Arial" w:eastAsia="Times New Roman" w:hAnsi="Arial" w:cs="Arial"/>
          <w:color w:val="000000" w:themeColor="text1"/>
          <w:sz w:val="20"/>
          <w:szCs w:val="20"/>
        </w:rPr>
        <w:t xml:space="preserve">Executive </w:t>
      </w:r>
      <w:r w:rsidRPr="00ED1038">
        <w:rPr>
          <w:rFonts w:ascii="Arial" w:eastAsia="Times New Roman" w:hAnsi="Arial" w:cs="Arial"/>
          <w:color w:val="000000" w:themeColor="text1"/>
          <w:sz w:val="20"/>
          <w:szCs w:val="20"/>
        </w:rPr>
        <w:t xml:space="preserve">Director of </w:t>
      </w:r>
      <w:r w:rsidR="0086294E" w:rsidRPr="00ED1038">
        <w:rPr>
          <w:rFonts w:ascii="Arial" w:eastAsia="Times New Roman" w:hAnsi="Arial" w:cs="Arial"/>
          <w:color w:val="000000" w:themeColor="text1"/>
          <w:sz w:val="20"/>
          <w:szCs w:val="20"/>
        </w:rPr>
        <w:t>Neighbourhood Services</w:t>
      </w:r>
      <w:r w:rsidRPr="00ED1038">
        <w:rPr>
          <w:rFonts w:ascii="Arial" w:eastAsia="Times New Roman" w:hAnsi="Arial" w:cs="Arial"/>
          <w:color w:val="000000" w:themeColor="text1"/>
          <w:sz w:val="20"/>
          <w:szCs w:val="20"/>
        </w:rPr>
        <w:t xml:space="preserve"> consult</w:t>
      </w:r>
      <w:r w:rsidR="00C47ABB" w:rsidRPr="00ED1038">
        <w:rPr>
          <w:rFonts w:ascii="Arial" w:eastAsia="Times New Roman" w:hAnsi="Arial" w:cs="Arial"/>
          <w:color w:val="000000" w:themeColor="text1"/>
          <w:sz w:val="20"/>
          <w:szCs w:val="20"/>
        </w:rPr>
        <w:t>s</w:t>
      </w:r>
      <w:r w:rsidR="00266609" w:rsidRPr="00ED1038">
        <w:rPr>
          <w:rFonts w:ascii="Arial" w:eastAsia="Times New Roman" w:hAnsi="Arial" w:cs="Arial"/>
          <w:color w:val="000000" w:themeColor="text1"/>
          <w:sz w:val="20"/>
          <w:szCs w:val="20"/>
        </w:rPr>
        <w:t xml:space="preserve"> with tenants</w:t>
      </w:r>
      <w:r w:rsidRPr="00ED1038">
        <w:rPr>
          <w:rFonts w:ascii="Arial" w:eastAsia="Times New Roman" w:hAnsi="Arial" w:cs="Arial"/>
          <w:color w:val="000000" w:themeColor="text1"/>
          <w:sz w:val="20"/>
          <w:szCs w:val="20"/>
        </w:rPr>
        <w:t xml:space="preserve"> for a </w:t>
      </w:r>
      <w:r w:rsidR="003437F9" w:rsidRPr="00ED1038">
        <w:rPr>
          <w:rFonts w:ascii="Arial" w:eastAsia="Times New Roman" w:hAnsi="Arial" w:cs="Arial"/>
          <w:color w:val="000000" w:themeColor="text1"/>
          <w:sz w:val="20"/>
          <w:szCs w:val="20"/>
        </w:rPr>
        <w:t>two-month</w:t>
      </w:r>
      <w:r w:rsidRPr="00ED1038">
        <w:rPr>
          <w:rFonts w:ascii="Arial" w:eastAsia="Times New Roman" w:hAnsi="Arial" w:cs="Arial"/>
          <w:color w:val="000000" w:themeColor="text1"/>
          <w:sz w:val="20"/>
          <w:szCs w:val="20"/>
        </w:rPr>
        <w:t xml:space="preserve"> period on the proposed options for the rent increase</w:t>
      </w:r>
      <w:r w:rsidR="006112F2" w:rsidRPr="00ED1038">
        <w:rPr>
          <w:rFonts w:ascii="Arial" w:eastAsia="Times New Roman" w:hAnsi="Arial" w:cs="Arial"/>
          <w:color w:val="000000" w:themeColor="text1"/>
          <w:sz w:val="20"/>
          <w:szCs w:val="20"/>
        </w:rPr>
        <w:t xml:space="preserve"> for 20</w:t>
      </w:r>
      <w:r w:rsidR="008D4F84" w:rsidRPr="00ED1038">
        <w:rPr>
          <w:rFonts w:ascii="Arial" w:eastAsia="Times New Roman" w:hAnsi="Arial" w:cs="Arial"/>
          <w:color w:val="000000" w:themeColor="text1"/>
          <w:sz w:val="20"/>
          <w:szCs w:val="20"/>
        </w:rPr>
        <w:t>2</w:t>
      </w:r>
      <w:r w:rsidR="00061415" w:rsidRPr="00ED1038">
        <w:rPr>
          <w:rFonts w:ascii="Arial" w:eastAsia="Times New Roman" w:hAnsi="Arial" w:cs="Arial"/>
          <w:color w:val="000000" w:themeColor="text1"/>
          <w:sz w:val="20"/>
          <w:szCs w:val="20"/>
        </w:rPr>
        <w:t>2</w:t>
      </w:r>
      <w:r w:rsidR="006112F2" w:rsidRPr="00ED1038">
        <w:rPr>
          <w:rFonts w:ascii="Arial" w:eastAsia="Times New Roman" w:hAnsi="Arial" w:cs="Arial"/>
          <w:color w:val="000000" w:themeColor="text1"/>
          <w:sz w:val="20"/>
          <w:szCs w:val="20"/>
        </w:rPr>
        <w:t>/</w:t>
      </w:r>
      <w:r w:rsidR="00D66674" w:rsidRPr="00ED1038">
        <w:rPr>
          <w:rFonts w:ascii="Arial" w:eastAsia="Times New Roman" w:hAnsi="Arial" w:cs="Arial"/>
          <w:color w:val="000000" w:themeColor="text1"/>
          <w:sz w:val="20"/>
          <w:szCs w:val="20"/>
        </w:rPr>
        <w:t>2</w:t>
      </w:r>
      <w:r w:rsidR="00061415" w:rsidRPr="00ED1038">
        <w:rPr>
          <w:rFonts w:ascii="Arial" w:eastAsia="Times New Roman" w:hAnsi="Arial" w:cs="Arial"/>
          <w:color w:val="000000" w:themeColor="text1"/>
          <w:sz w:val="20"/>
          <w:szCs w:val="20"/>
        </w:rPr>
        <w:t>3</w:t>
      </w:r>
      <w:r w:rsidR="005E70C2" w:rsidRPr="00ED1038">
        <w:rPr>
          <w:rFonts w:ascii="Arial" w:eastAsia="Times New Roman" w:hAnsi="Arial" w:cs="Arial"/>
          <w:color w:val="000000" w:themeColor="text1"/>
          <w:sz w:val="20"/>
          <w:szCs w:val="20"/>
        </w:rPr>
        <w:t xml:space="preserve"> as outlined in this report</w:t>
      </w:r>
      <w:r w:rsidR="00740971" w:rsidRPr="00ED1038">
        <w:rPr>
          <w:rFonts w:ascii="Arial" w:eastAsia="Times New Roman" w:hAnsi="Arial" w:cs="Arial"/>
          <w:color w:val="000000" w:themeColor="text1"/>
          <w:sz w:val="20"/>
          <w:szCs w:val="20"/>
        </w:rPr>
        <w:t>;</w:t>
      </w:r>
    </w:p>
    <w:p w14:paraId="10DC7E23" w14:textId="77777777" w:rsidR="0086294E" w:rsidRPr="00ED1038" w:rsidRDefault="0086294E" w:rsidP="00441D26">
      <w:pPr>
        <w:tabs>
          <w:tab w:val="left" w:pos="567"/>
          <w:tab w:val="left" w:pos="1260"/>
          <w:tab w:val="left" w:pos="2304"/>
          <w:tab w:val="left" w:pos="2880"/>
          <w:tab w:val="left" w:pos="8647"/>
        </w:tabs>
        <w:spacing w:after="0" w:line="240" w:lineRule="auto"/>
        <w:ind w:left="1260" w:hanging="540"/>
        <w:jc w:val="both"/>
        <w:rPr>
          <w:rFonts w:ascii="Arial" w:eastAsia="Times New Roman" w:hAnsi="Arial" w:cs="Arial"/>
          <w:color w:val="000000" w:themeColor="text1"/>
          <w:sz w:val="20"/>
          <w:szCs w:val="20"/>
        </w:rPr>
      </w:pPr>
    </w:p>
    <w:p w14:paraId="75DFC9DF" w14:textId="77777777" w:rsidR="00C37995" w:rsidRPr="00ED1038" w:rsidRDefault="00E04312" w:rsidP="00441D26">
      <w:pPr>
        <w:numPr>
          <w:ilvl w:val="2"/>
          <w:numId w:val="3"/>
        </w:numPr>
        <w:tabs>
          <w:tab w:val="left" w:pos="567"/>
          <w:tab w:val="left" w:pos="1260"/>
          <w:tab w:val="left" w:pos="2304"/>
          <w:tab w:val="left" w:pos="2880"/>
          <w:tab w:val="left" w:pos="8647"/>
        </w:tabs>
        <w:spacing w:after="0" w:line="240" w:lineRule="auto"/>
        <w:ind w:left="1260" w:hanging="540"/>
        <w:jc w:val="both"/>
        <w:rPr>
          <w:rFonts w:ascii="Arial" w:eastAsia="Times New Roman" w:hAnsi="Arial" w:cs="Arial"/>
          <w:color w:val="000000" w:themeColor="text1"/>
          <w:sz w:val="20"/>
          <w:szCs w:val="20"/>
        </w:rPr>
      </w:pPr>
      <w:r w:rsidRPr="00ED1038">
        <w:rPr>
          <w:rFonts w:ascii="Arial" w:eastAsia="Times New Roman" w:hAnsi="Arial" w:cs="Arial"/>
          <w:color w:val="000000" w:themeColor="text1"/>
          <w:sz w:val="20"/>
          <w:szCs w:val="20"/>
        </w:rPr>
        <w:t xml:space="preserve">note </w:t>
      </w:r>
      <w:r w:rsidR="009E0573" w:rsidRPr="00ED1038">
        <w:rPr>
          <w:rFonts w:ascii="Arial" w:eastAsia="Times New Roman" w:hAnsi="Arial" w:cs="Arial"/>
          <w:color w:val="000000" w:themeColor="text1"/>
          <w:sz w:val="20"/>
          <w:szCs w:val="20"/>
        </w:rPr>
        <w:t>the Provisional R</w:t>
      </w:r>
      <w:r w:rsidR="00740971" w:rsidRPr="00ED1038">
        <w:rPr>
          <w:rFonts w:ascii="Arial" w:eastAsia="Times New Roman" w:hAnsi="Arial" w:cs="Arial"/>
          <w:color w:val="000000" w:themeColor="text1"/>
          <w:sz w:val="20"/>
          <w:szCs w:val="20"/>
        </w:rPr>
        <w:t xml:space="preserve">evenue </w:t>
      </w:r>
      <w:r w:rsidR="009E0573" w:rsidRPr="00ED1038">
        <w:rPr>
          <w:rFonts w:ascii="Arial" w:eastAsia="Times New Roman" w:hAnsi="Arial" w:cs="Arial"/>
          <w:color w:val="000000" w:themeColor="text1"/>
          <w:sz w:val="20"/>
          <w:szCs w:val="20"/>
        </w:rPr>
        <w:t>B</w:t>
      </w:r>
      <w:r w:rsidR="00740971" w:rsidRPr="00ED1038">
        <w:rPr>
          <w:rFonts w:ascii="Arial" w:eastAsia="Times New Roman" w:hAnsi="Arial" w:cs="Arial"/>
          <w:color w:val="000000" w:themeColor="text1"/>
          <w:sz w:val="20"/>
          <w:szCs w:val="20"/>
        </w:rPr>
        <w:t xml:space="preserve">udgets for </w:t>
      </w:r>
      <w:r w:rsidR="008E4654" w:rsidRPr="00ED1038">
        <w:rPr>
          <w:rFonts w:ascii="Arial" w:eastAsia="Times New Roman" w:hAnsi="Arial" w:cs="Arial"/>
          <w:color w:val="000000" w:themeColor="text1"/>
          <w:sz w:val="20"/>
          <w:szCs w:val="20"/>
        </w:rPr>
        <w:t>202</w:t>
      </w:r>
      <w:r w:rsidR="00061415" w:rsidRPr="00ED1038">
        <w:rPr>
          <w:rFonts w:ascii="Arial" w:eastAsia="Times New Roman" w:hAnsi="Arial" w:cs="Arial"/>
          <w:color w:val="000000" w:themeColor="text1"/>
          <w:sz w:val="20"/>
          <w:szCs w:val="20"/>
        </w:rPr>
        <w:t>3</w:t>
      </w:r>
      <w:r w:rsidR="008E4654" w:rsidRPr="00ED1038">
        <w:rPr>
          <w:rFonts w:ascii="Arial" w:eastAsia="Times New Roman" w:hAnsi="Arial" w:cs="Arial"/>
          <w:color w:val="000000" w:themeColor="text1"/>
          <w:sz w:val="20"/>
          <w:szCs w:val="20"/>
        </w:rPr>
        <w:t>/2</w:t>
      </w:r>
      <w:r w:rsidR="00061415" w:rsidRPr="00ED1038">
        <w:rPr>
          <w:rFonts w:ascii="Arial" w:eastAsia="Times New Roman" w:hAnsi="Arial" w:cs="Arial"/>
          <w:color w:val="000000" w:themeColor="text1"/>
          <w:sz w:val="20"/>
          <w:szCs w:val="20"/>
        </w:rPr>
        <w:t>4</w:t>
      </w:r>
      <w:r w:rsidR="008E4654" w:rsidRPr="00ED1038">
        <w:rPr>
          <w:rFonts w:ascii="Arial" w:eastAsia="Times New Roman" w:hAnsi="Arial" w:cs="Arial"/>
          <w:color w:val="000000" w:themeColor="text1"/>
          <w:sz w:val="20"/>
          <w:szCs w:val="20"/>
        </w:rPr>
        <w:t xml:space="preserve"> </w:t>
      </w:r>
      <w:r w:rsidR="00D66674" w:rsidRPr="00ED1038">
        <w:rPr>
          <w:rFonts w:ascii="Arial" w:eastAsia="Times New Roman" w:hAnsi="Arial" w:cs="Arial"/>
          <w:color w:val="000000" w:themeColor="text1"/>
          <w:sz w:val="20"/>
          <w:szCs w:val="20"/>
        </w:rPr>
        <w:t>and 202</w:t>
      </w:r>
      <w:r w:rsidR="00061415" w:rsidRPr="00ED1038">
        <w:rPr>
          <w:rFonts w:ascii="Arial" w:eastAsia="Times New Roman" w:hAnsi="Arial" w:cs="Arial"/>
          <w:color w:val="000000" w:themeColor="text1"/>
          <w:sz w:val="20"/>
          <w:szCs w:val="20"/>
        </w:rPr>
        <w:t>4</w:t>
      </w:r>
      <w:r w:rsidR="00D66674" w:rsidRPr="00ED1038">
        <w:rPr>
          <w:rFonts w:ascii="Arial" w:eastAsia="Times New Roman" w:hAnsi="Arial" w:cs="Arial"/>
          <w:color w:val="000000" w:themeColor="text1"/>
          <w:sz w:val="20"/>
          <w:szCs w:val="20"/>
        </w:rPr>
        <w:t>/2</w:t>
      </w:r>
      <w:r w:rsidR="00061415" w:rsidRPr="00ED1038">
        <w:rPr>
          <w:rFonts w:ascii="Arial" w:eastAsia="Times New Roman" w:hAnsi="Arial" w:cs="Arial"/>
          <w:color w:val="000000" w:themeColor="text1"/>
          <w:sz w:val="20"/>
          <w:szCs w:val="20"/>
        </w:rPr>
        <w:t>5</w:t>
      </w:r>
      <w:r w:rsidR="00740971" w:rsidRPr="00ED1038">
        <w:rPr>
          <w:rFonts w:ascii="Arial" w:eastAsia="Times New Roman" w:hAnsi="Arial" w:cs="Arial"/>
          <w:color w:val="000000" w:themeColor="text1"/>
          <w:sz w:val="20"/>
          <w:szCs w:val="20"/>
        </w:rPr>
        <w:t xml:space="preserve"> detailed in Appendix 1 and the indicative rent</w:t>
      </w:r>
      <w:r w:rsidRPr="00ED1038">
        <w:rPr>
          <w:rFonts w:ascii="Arial" w:eastAsia="Times New Roman" w:hAnsi="Arial" w:cs="Arial"/>
          <w:color w:val="000000" w:themeColor="text1"/>
          <w:sz w:val="20"/>
          <w:szCs w:val="20"/>
        </w:rPr>
        <w:t xml:space="preserve"> increases for </w:t>
      </w:r>
      <w:r w:rsidR="00740971" w:rsidRPr="00ED1038">
        <w:rPr>
          <w:rFonts w:ascii="Arial" w:eastAsia="Times New Roman" w:hAnsi="Arial" w:cs="Arial"/>
          <w:color w:val="000000" w:themeColor="text1"/>
          <w:sz w:val="20"/>
          <w:szCs w:val="20"/>
        </w:rPr>
        <w:t>each of these years</w:t>
      </w:r>
      <w:r w:rsidR="005507D1" w:rsidRPr="00ED1038">
        <w:rPr>
          <w:rFonts w:ascii="Arial" w:eastAsia="Times New Roman" w:hAnsi="Arial" w:cs="Arial"/>
          <w:color w:val="000000" w:themeColor="text1"/>
          <w:sz w:val="20"/>
          <w:szCs w:val="20"/>
        </w:rPr>
        <w:t xml:space="preserve"> outlined in paragraph </w:t>
      </w:r>
      <w:r w:rsidR="003C03F9" w:rsidRPr="00ED1038">
        <w:rPr>
          <w:rFonts w:ascii="Arial" w:eastAsia="Times New Roman" w:hAnsi="Arial" w:cs="Arial"/>
          <w:color w:val="000000" w:themeColor="text1"/>
          <w:sz w:val="20"/>
          <w:szCs w:val="20"/>
        </w:rPr>
        <w:t>9</w:t>
      </w:r>
      <w:r w:rsidR="007147ED" w:rsidRPr="00ED1038">
        <w:rPr>
          <w:rFonts w:ascii="Arial" w:eastAsia="Times New Roman" w:hAnsi="Arial" w:cs="Arial"/>
          <w:color w:val="000000" w:themeColor="text1"/>
          <w:sz w:val="20"/>
          <w:szCs w:val="20"/>
        </w:rPr>
        <w:t>.</w:t>
      </w:r>
      <w:r w:rsidR="00BD62D0" w:rsidRPr="00ED1038">
        <w:rPr>
          <w:rFonts w:ascii="Arial" w:eastAsia="Times New Roman" w:hAnsi="Arial" w:cs="Arial"/>
          <w:color w:val="000000" w:themeColor="text1"/>
          <w:sz w:val="20"/>
          <w:szCs w:val="20"/>
        </w:rPr>
        <w:t>3</w:t>
      </w:r>
      <w:r w:rsidR="00740971" w:rsidRPr="00ED1038">
        <w:rPr>
          <w:rFonts w:ascii="Arial" w:eastAsia="Times New Roman" w:hAnsi="Arial" w:cs="Arial"/>
          <w:color w:val="000000" w:themeColor="text1"/>
          <w:sz w:val="20"/>
          <w:szCs w:val="20"/>
        </w:rPr>
        <w:t>;</w:t>
      </w:r>
    </w:p>
    <w:p w14:paraId="255062F4" w14:textId="77777777" w:rsidR="00C37995" w:rsidRPr="00ED1038" w:rsidRDefault="00C37995" w:rsidP="00441D26">
      <w:pPr>
        <w:tabs>
          <w:tab w:val="left" w:pos="567"/>
          <w:tab w:val="left" w:pos="1260"/>
          <w:tab w:val="left" w:pos="2304"/>
          <w:tab w:val="left" w:pos="2880"/>
          <w:tab w:val="left" w:pos="8647"/>
        </w:tabs>
        <w:spacing w:after="0" w:line="240" w:lineRule="auto"/>
        <w:ind w:left="1260" w:hanging="540"/>
        <w:jc w:val="both"/>
        <w:rPr>
          <w:rFonts w:ascii="Arial" w:eastAsia="Times New Roman" w:hAnsi="Arial" w:cs="Arial"/>
          <w:sz w:val="20"/>
          <w:szCs w:val="20"/>
        </w:rPr>
      </w:pPr>
    </w:p>
    <w:p w14:paraId="17F0F6B2" w14:textId="77777777" w:rsidR="00853881" w:rsidRPr="00ED1038" w:rsidRDefault="00C37995" w:rsidP="00441D26">
      <w:pPr>
        <w:numPr>
          <w:ilvl w:val="2"/>
          <w:numId w:val="3"/>
        </w:numPr>
        <w:tabs>
          <w:tab w:val="left" w:pos="567"/>
          <w:tab w:val="left" w:pos="1260"/>
          <w:tab w:val="left" w:pos="2304"/>
          <w:tab w:val="left" w:pos="2880"/>
          <w:tab w:val="left" w:pos="8647"/>
        </w:tabs>
        <w:spacing w:after="0" w:line="240" w:lineRule="auto"/>
        <w:ind w:left="1260" w:hanging="540"/>
        <w:jc w:val="both"/>
        <w:rPr>
          <w:rFonts w:ascii="Arial" w:eastAsia="Times New Roman" w:hAnsi="Arial" w:cs="Arial"/>
          <w:color w:val="000000" w:themeColor="text1"/>
          <w:sz w:val="20"/>
          <w:szCs w:val="20"/>
        </w:rPr>
      </w:pPr>
      <w:r w:rsidRPr="00ED1038">
        <w:rPr>
          <w:rFonts w:ascii="Arial" w:eastAsia="Times New Roman" w:hAnsi="Arial" w:cs="Arial"/>
          <w:color w:val="000000" w:themeColor="text1"/>
          <w:sz w:val="20"/>
          <w:szCs w:val="20"/>
        </w:rPr>
        <w:t>note the proposed other housing charges included in Appendix 2 to this report</w:t>
      </w:r>
      <w:r w:rsidR="002A780F" w:rsidRPr="00ED1038">
        <w:rPr>
          <w:rFonts w:ascii="Arial" w:eastAsia="Times New Roman" w:hAnsi="Arial" w:cs="Arial"/>
          <w:color w:val="000000" w:themeColor="text1"/>
          <w:sz w:val="20"/>
          <w:szCs w:val="20"/>
        </w:rPr>
        <w:t xml:space="preserve"> </w:t>
      </w:r>
      <w:r w:rsidR="008E4654" w:rsidRPr="00ED1038">
        <w:rPr>
          <w:rFonts w:ascii="Arial" w:eastAsia="Times New Roman" w:hAnsi="Arial" w:cs="Arial"/>
          <w:color w:val="000000" w:themeColor="text1"/>
          <w:sz w:val="20"/>
          <w:szCs w:val="20"/>
        </w:rPr>
        <w:t xml:space="preserve">that would become effective from </w:t>
      </w:r>
      <w:r w:rsidR="003F5ED9" w:rsidRPr="00ED1038">
        <w:rPr>
          <w:rFonts w:ascii="Arial" w:eastAsia="Times New Roman" w:hAnsi="Arial" w:cs="Arial"/>
          <w:color w:val="000000" w:themeColor="text1"/>
          <w:sz w:val="20"/>
          <w:szCs w:val="20"/>
        </w:rPr>
        <w:t>4</w:t>
      </w:r>
      <w:r w:rsidR="002A780F" w:rsidRPr="00ED1038">
        <w:rPr>
          <w:rFonts w:ascii="Arial" w:eastAsia="Times New Roman" w:hAnsi="Arial" w:cs="Arial"/>
          <w:color w:val="000000" w:themeColor="text1"/>
          <w:sz w:val="20"/>
          <w:szCs w:val="20"/>
        </w:rPr>
        <w:t xml:space="preserve"> April 202</w:t>
      </w:r>
      <w:r w:rsidR="00061415" w:rsidRPr="00ED1038">
        <w:rPr>
          <w:rFonts w:ascii="Arial" w:eastAsia="Times New Roman" w:hAnsi="Arial" w:cs="Arial"/>
          <w:color w:val="000000" w:themeColor="text1"/>
          <w:sz w:val="20"/>
          <w:szCs w:val="20"/>
        </w:rPr>
        <w:t>2</w:t>
      </w:r>
      <w:r w:rsidRPr="00ED1038">
        <w:rPr>
          <w:rFonts w:ascii="Arial" w:eastAsia="Times New Roman" w:hAnsi="Arial" w:cs="Arial"/>
          <w:color w:val="000000" w:themeColor="text1"/>
          <w:sz w:val="20"/>
          <w:szCs w:val="20"/>
        </w:rPr>
        <w:t>;</w:t>
      </w:r>
    </w:p>
    <w:p w14:paraId="1234CC28" w14:textId="77777777" w:rsidR="00420999" w:rsidRPr="00ED1038" w:rsidRDefault="00420999" w:rsidP="00441D26">
      <w:pPr>
        <w:tabs>
          <w:tab w:val="left" w:pos="567"/>
          <w:tab w:val="left" w:pos="1260"/>
          <w:tab w:val="left" w:pos="2304"/>
          <w:tab w:val="left" w:pos="2880"/>
          <w:tab w:val="left" w:pos="8647"/>
        </w:tabs>
        <w:spacing w:after="0" w:line="240" w:lineRule="auto"/>
        <w:ind w:left="1260" w:hanging="540"/>
        <w:jc w:val="both"/>
        <w:rPr>
          <w:rFonts w:ascii="Arial" w:eastAsia="Times New Roman" w:hAnsi="Arial" w:cs="Arial"/>
          <w:sz w:val="20"/>
          <w:szCs w:val="20"/>
        </w:rPr>
      </w:pPr>
    </w:p>
    <w:p w14:paraId="0E88C492" w14:textId="77777777" w:rsidR="005122CC" w:rsidRPr="00ED1038" w:rsidRDefault="00E04312" w:rsidP="00441D26">
      <w:pPr>
        <w:numPr>
          <w:ilvl w:val="2"/>
          <w:numId w:val="3"/>
        </w:numPr>
        <w:tabs>
          <w:tab w:val="left" w:pos="567"/>
          <w:tab w:val="left" w:pos="1260"/>
          <w:tab w:val="left" w:pos="2304"/>
          <w:tab w:val="left" w:pos="2880"/>
          <w:tab w:val="left" w:pos="8647"/>
        </w:tabs>
        <w:spacing w:after="0" w:line="240" w:lineRule="auto"/>
        <w:ind w:left="1260" w:hanging="540"/>
        <w:jc w:val="both"/>
        <w:rPr>
          <w:rFonts w:ascii="Arial" w:eastAsia="Times New Roman" w:hAnsi="Arial" w:cs="Arial"/>
          <w:color w:val="000000" w:themeColor="text1"/>
          <w:sz w:val="20"/>
          <w:szCs w:val="20"/>
        </w:rPr>
      </w:pPr>
      <w:r w:rsidRPr="00ED1038">
        <w:rPr>
          <w:rFonts w:ascii="Arial" w:eastAsia="Times New Roman" w:hAnsi="Arial" w:cs="Arial"/>
          <w:color w:val="000000" w:themeColor="text1"/>
          <w:sz w:val="20"/>
          <w:szCs w:val="20"/>
        </w:rPr>
        <w:t xml:space="preserve">agree that only the rent options which have been the subject of consultation with tenants over the </w:t>
      </w:r>
      <w:r w:rsidR="003437F9" w:rsidRPr="00ED1038">
        <w:rPr>
          <w:rFonts w:ascii="Arial" w:eastAsia="Times New Roman" w:hAnsi="Arial" w:cs="Arial"/>
          <w:color w:val="000000" w:themeColor="text1"/>
          <w:sz w:val="20"/>
          <w:szCs w:val="20"/>
        </w:rPr>
        <w:t>2-month</w:t>
      </w:r>
      <w:r w:rsidRPr="00ED1038">
        <w:rPr>
          <w:rFonts w:ascii="Arial" w:eastAsia="Times New Roman" w:hAnsi="Arial" w:cs="Arial"/>
          <w:color w:val="000000" w:themeColor="text1"/>
          <w:sz w:val="20"/>
          <w:szCs w:val="20"/>
        </w:rPr>
        <w:t xml:space="preserve"> period be used to set the 20</w:t>
      </w:r>
      <w:r w:rsidR="008D4F84" w:rsidRPr="00ED1038">
        <w:rPr>
          <w:rFonts w:ascii="Arial" w:eastAsia="Times New Roman" w:hAnsi="Arial" w:cs="Arial"/>
          <w:color w:val="000000" w:themeColor="text1"/>
          <w:sz w:val="20"/>
          <w:szCs w:val="20"/>
        </w:rPr>
        <w:t>2</w:t>
      </w:r>
      <w:r w:rsidR="00061415" w:rsidRPr="00ED1038">
        <w:rPr>
          <w:rFonts w:ascii="Arial" w:eastAsia="Times New Roman" w:hAnsi="Arial" w:cs="Arial"/>
          <w:color w:val="000000" w:themeColor="text1"/>
          <w:sz w:val="20"/>
          <w:szCs w:val="20"/>
        </w:rPr>
        <w:t>2</w:t>
      </w:r>
      <w:r w:rsidRPr="00ED1038">
        <w:rPr>
          <w:rFonts w:ascii="Arial" w:eastAsia="Times New Roman" w:hAnsi="Arial" w:cs="Arial"/>
          <w:color w:val="000000" w:themeColor="text1"/>
          <w:sz w:val="20"/>
          <w:szCs w:val="20"/>
        </w:rPr>
        <w:t>/</w:t>
      </w:r>
      <w:r w:rsidR="00D66674" w:rsidRPr="00ED1038">
        <w:rPr>
          <w:rFonts w:ascii="Arial" w:eastAsia="Times New Roman" w:hAnsi="Arial" w:cs="Arial"/>
          <w:color w:val="000000" w:themeColor="text1"/>
          <w:sz w:val="20"/>
          <w:szCs w:val="20"/>
        </w:rPr>
        <w:t>2</w:t>
      </w:r>
      <w:r w:rsidR="00061415" w:rsidRPr="00ED1038">
        <w:rPr>
          <w:rFonts w:ascii="Arial" w:eastAsia="Times New Roman" w:hAnsi="Arial" w:cs="Arial"/>
          <w:color w:val="000000" w:themeColor="text1"/>
          <w:sz w:val="20"/>
          <w:szCs w:val="20"/>
        </w:rPr>
        <w:t>3</w:t>
      </w:r>
      <w:r w:rsidRPr="00ED1038">
        <w:rPr>
          <w:rFonts w:ascii="Arial" w:eastAsia="Times New Roman" w:hAnsi="Arial" w:cs="Arial"/>
          <w:color w:val="000000" w:themeColor="text1"/>
          <w:sz w:val="20"/>
          <w:szCs w:val="20"/>
        </w:rPr>
        <w:t xml:space="preserve"> Housing Revenue Account </w:t>
      </w:r>
      <w:r w:rsidR="00515C50" w:rsidRPr="00ED1038">
        <w:rPr>
          <w:rFonts w:ascii="Arial" w:eastAsia="Times New Roman" w:hAnsi="Arial" w:cs="Arial"/>
          <w:color w:val="000000" w:themeColor="text1"/>
          <w:sz w:val="20"/>
          <w:szCs w:val="20"/>
        </w:rPr>
        <w:t xml:space="preserve">(HRA) Revenue </w:t>
      </w:r>
      <w:r w:rsidRPr="00ED1038">
        <w:rPr>
          <w:rFonts w:ascii="Arial" w:eastAsia="Times New Roman" w:hAnsi="Arial" w:cs="Arial"/>
          <w:color w:val="000000" w:themeColor="text1"/>
          <w:sz w:val="20"/>
          <w:szCs w:val="20"/>
        </w:rPr>
        <w:t xml:space="preserve">Budget and </w:t>
      </w:r>
      <w:r w:rsidR="004A27EE" w:rsidRPr="00ED1038">
        <w:rPr>
          <w:rFonts w:ascii="Arial" w:eastAsia="Times New Roman" w:hAnsi="Arial" w:cs="Arial"/>
          <w:color w:val="000000" w:themeColor="text1"/>
          <w:sz w:val="20"/>
          <w:szCs w:val="20"/>
        </w:rPr>
        <w:t>r</w:t>
      </w:r>
      <w:r w:rsidRPr="00ED1038">
        <w:rPr>
          <w:rFonts w:ascii="Arial" w:eastAsia="Times New Roman" w:hAnsi="Arial" w:cs="Arial"/>
          <w:color w:val="000000" w:themeColor="text1"/>
          <w:sz w:val="20"/>
          <w:szCs w:val="20"/>
        </w:rPr>
        <w:t xml:space="preserve">ent and </w:t>
      </w:r>
      <w:r w:rsidR="004A27EE" w:rsidRPr="00ED1038">
        <w:rPr>
          <w:rFonts w:ascii="Arial" w:eastAsia="Times New Roman" w:hAnsi="Arial" w:cs="Arial"/>
          <w:color w:val="000000" w:themeColor="text1"/>
          <w:sz w:val="20"/>
          <w:szCs w:val="20"/>
        </w:rPr>
        <w:t>other h</w:t>
      </w:r>
      <w:r w:rsidRPr="00ED1038">
        <w:rPr>
          <w:rFonts w:ascii="Arial" w:eastAsia="Times New Roman" w:hAnsi="Arial" w:cs="Arial"/>
          <w:color w:val="000000" w:themeColor="text1"/>
          <w:sz w:val="20"/>
          <w:szCs w:val="20"/>
        </w:rPr>
        <w:t xml:space="preserve">ousing </w:t>
      </w:r>
      <w:r w:rsidR="004A27EE" w:rsidRPr="00ED1038">
        <w:rPr>
          <w:rFonts w:ascii="Arial" w:eastAsia="Times New Roman" w:hAnsi="Arial" w:cs="Arial"/>
          <w:color w:val="000000" w:themeColor="text1"/>
          <w:sz w:val="20"/>
          <w:szCs w:val="20"/>
        </w:rPr>
        <w:t>c</w:t>
      </w:r>
      <w:r w:rsidRPr="00ED1038">
        <w:rPr>
          <w:rFonts w:ascii="Arial" w:eastAsia="Times New Roman" w:hAnsi="Arial" w:cs="Arial"/>
          <w:color w:val="000000" w:themeColor="text1"/>
          <w:sz w:val="20"/>
          <w:szCs w:val="20"/>
        </w:rPr>
        <w:t>harges.</w:t>
      </w:r>
    </w:p>
    <w:p w14:paraId="2FE9C4B2" w14:textId="77777777" w:rsidR="00A77E05" w:rsidRPr="00ED1038" w:rsidRDefault="00A77E05" w:rsidP="00C27DC7">
      <w:pPr>
        <w:tabs>
          <w:tab w:val="left" w:pos="1134"/>
          <w:tab w:val="left" w:pos="2304"/>
          <w:tab w:val="left" w:pos="2880"/>
          <w:tab w:val="left" w:pos="8647"/>
        </w:tabs>
        <w:spacing w:after="0" w:line="240" w:lineRule="auto"/>
        <w:jc w:val="both"/>
        <w:rPr>
          <w:rFonts w:ascii="Arial" w:eastAsia="Times New Roman" w:hAnsi="Arial" w:cs="Arial"/>
          <w:sz w:val="20"/>
          <w:szCs w:val="20"/>
        </w:rPr>
      </w:pPr>
    </w:p>
    <w:p w14:paraId="362BA839" w14:textId="77777777" w:rsidR="00866395" w:rsidRPr="00ED1038" w:rsidRDefault="00866395" w:rsidP="00C27DC7">
      <w:pPr>
        <w:tabs>
          <w:tab w:val="left" w:pos="567"/>
          <w:tab w:val="left" w:pos="1134"/>
          <w:tab w:val="left" w:pos="2304"/>
          <w:tab w:val="left" w:pos="2880"/>
          <w:tab w:val="left" w:pos="8647"/>
        </w:tabs>
        <w:spacing w:after="0" w:line="240" w:lineRule="auto"/>
        <w:jc w:val="both"/>
        <w:rPr>
          <w:rFonts w:ascii="Arial" w:eastAsia="Times New Roman" w:hAnsi="Arial" w:cs="Arial"/>
          <w:sz w:val="20"/>
          <w:szCs w:val="20"/>
        </w:rPr>
      </w:pPr>
    </w:p>
    <w:p w14:paraId="43E15817" w14:textId="77777777" w:rsidR="00866395" w:rsidRPr="00ED1038" w:rsidRDefault="00866395" w:rsidP="00CE41E7">
      <w:pPr>
        <w:tabs>
          <w:tab w:val="left" w:pos="720"/>
        </w:tabs>
        <w:spacing w:after="0" w:line="240" w:lineRule="auto"/>
        <w:ind w:left="720" w:hanging="720"/>
        <w:jc w:val="both"/>
        <w:rPr>
          <w:rFonts w:ascii="Arial" w:eastAsia="Times New Roman" w:hAnsi="Arial" w:cs="Arial"/>
          <w:sz w:val="20"/>
          <w:szCs w:val="20"/>
        </w:rPr>
      </w:pPr>
      <w:r w:rsidRPr="00ED1038">
        <w:rPr>
          <w:rFonts w:ascii="Arial" w:eastAsia="Times New Roman" w:hAnsi="Arial" w:cs="Arial"/>
          <w:sz w:val="20"/>
          <w:szCs w:val="20"/>
        </w:rPr>
        <w:t>3</w:t>
      </w:r>
      <w:r w:rsidRPr="00ED1038">
        <w:rPr>
          <w:rFonts w:ascii="Arial" w:eastAsia="Times New Roman" w:hAnsi="Arial" w:cs="Arial"/>
          <w:sz w:val="20"/>
          <w:szCs w:val="20"/>
        </w:rPr>
        <w:tab/>
      </w:r>
      <w:r w:rsidRPr="00ED1038">
        <w:rPr>
          <w:rFonts w:ascii="Arial" w:eastAsia="Times New Roman" w:hAnsi="Arial" w:cs="Arial"/>
          <w:b/>
          <w:sz w:val="20"/>
          <w:szCs w:val="20"/>
        </w:rPr>
        <w:t>FINANCIAL IMPLICATIONS</w:t>
      </w:r>
    </w:p>
    <w:p w14:paraId="36FD4BD7" w14:textId="77777777" w:rsidR="00866395" w:rsidRPr="00ED1038" w:rsidRDefault="00866395" w:rsidP="00CE41E7">
      <w:pPr>
        <w:tabs>
          <w:tab w:val="left" w:pos="720"/>
        </w:tabs>
        <w:spacing w:after="0" w:line="240" w:lineRule="auto"/>
        <w:ind w:left="720" w:hanging="720"/>
        <w:jc w:val="both"/>
        <w:rPr>
          <w:rFonts w:ascii="Arial" w:eastAsia="Times New Roman" w:hAnsi="Arial" w:cs="Arial"/>
          <w:sz w:val="20"/>
          <w:szCs w:val="20"/>
        </w:rPr>
      </w:pPr>
    </w:p>
    <w:p w14:paraId="2E5336A5" w14:textId="77777777" w:rsidR="00A77E05" w:rsidRPr="00ED1038" w:rsidRDefault="001136B6" w:rsidP="00CE41E7">
      <w:pPr>
        <w:tabs>
          <w:tab w:val="left" w:pos="720"/>
        </w:tabs>
        <w:spacing w:after="0" w:line="240" w:lineRule="auto"/>
        <w:ind w:left="720" w:hanging="720"/>
        <w:jc w:val="both"/>
        <w:rPr>
          <w:rFonts w:ascii="Arial" w:eastAsia="Times New Roman" w:hAnsi="Arial" w:cs="Arial"/>
          <w:sz w:val="20"/>
          <w:szCs w:val="20"/>
        </w:rPr>
      </w:pPr>
      <w:r w:rsidRPr="00ED1038">
        <w:rPr>
          <w:rFonts w:ascii="Arial" w:eastAsia="Times New Roman" w:hAnsi="Arial" w:cs="Arial"/>
          <w:sz w:val="20"/>
          <w:szCs w:val="20"/>
        </w:rPr>
        <w:t>3.1</w:t>
      </w:r>
      <w:r w:rsidRPr="00ED1038">
        <w:rPr>
          <w:rFonts w:ascii="Arial" w:eastAsia="Times New Roman" w:hAnsi="Arial" w:cs="Arial"/>
          <w:sz w:val="20"/>
          <w:szCs w:val="20"/>
        </w:rPr>
        <w:tab/>
      </w:r>
      <w:r w:rsidR="00183DFB" w:rsidRPr="00ED1038">
        <w:rPr>
          <w:rFonts w:ascii="Arial" w:eastAsia="Times New Roman" w:hAnsi="Arial" w:cs="Arial"/>
          <w:color w:val="000000" w:themeColor="text1"/>
          <w:sz w:val="20"/>
          <w:szCs w:val="20"/>
        </w:rPr>
        <w:t xml:space="preserve">The tenant </w:t>
      </w:r>
      <w:r w:rsidR="00DE227B" w:rsidRPr="00ED1038">
        <w:rPr>
          <w:rFonts w:ascii="Arial" w:eastAsia="Times New Roman" w:hAnsi="Arial" w:cs="Arial"/>
          <w:color w:val="000000" w:themeColor="text1"/>
          <w:sz w:val="20"/>
          <w:szCs w:val="20"/>
        </w:rPr>
        <w:t xml:space="preserve">consultation </w:t>
      </w:r>
      <w:r w:rsidR="00183DFB" w:rsidRPr="00ED1038">
        <w:rPr>
          <w:rFonts w:ascii="Arial" w:eastAsia="Times New Roman" w:hAnsi="Arial" w:cs="Arial"/>
          <w:color w:val="000000" w:themeColor="text1"/>
          <w:sz w:val="20"/>
          <w:szCs w:val="20"/>
        </w:rPr>
        <w:t xml:space="preserve">exercise will cost </w:t>
      </w:r>
      <w:r w:rsidR="008E4654" w:rsidRPr="00ED1038">
        <w:rPr>
          <w:rFonts w:ascii="Arial" w:eastAsia="Times New Roman" w:hAnsi="Arial" w:cs="Arial"/>
          <w:color w:val="000000" w:themeColor="text1"/>
          <w:sz w:val="20"/>
          <w:szCs w:val="20"/>
        </w:rPr>
        <w:t>no more than</w:t>
      </w:r>
      <w:r w:rsidR="00266609" w:rsidRPr="00ED1038">
        <w:rPr>
          <w:rFonts w:ascii="Arial" w:eastAsia="Times New Roman" w:hAnsi="Arial" w:cs="Arial"/>
          <w:color w:val="000000" w:themeColor="text1"/>
          <w:sz w:val="20"/>
          <w:szCs w:val="20"/>
        </w:rPr>
        <w:t xml:space="preserve"> £1</w:t>
      </w:r>
      <w:r w:rsidR="00183DFB" w:rsidRPr="00ED1038">
        <w:rPr>
          <w:rFonts w:ascii="Arial" w:eastAsia="Times New Roman" w:hAnsi="Arial" w:cs="Arial"/>
          <w:color w:val="000000" w:themeColor="text1"/>
          <w:sz w:val="20"/>
          <w:szCs w:val="20"/>
        </w:rPr>
        <w:t xml:space="preserve">,000 and this will be contained within the </w:t>
      </w:r>
      <w:r w:rsidR="008D4F84" w:rsidRPr="00ED1038">
        <w:rPr>
          <w:rFonts w:ascii="Arial" w:eastAsia="Times New Roman" w:hAnsi="Arial" w:cs="Arial"/>
          <w:color w:val="000000" w:themeColor="text1"/>
          <w:sz w:val="20"/>
          <w:szCs w:val="20"/>
        </w:rPr>
        <w:t>Neighbourhood Services (Housing HRA)</w:t>
      </w:r>
      <w:r w:rsidR="00183DFB" w:rsidRPr="00ED1038">
        <w:rPr>
          <w:rFonts w:ascii="Arial" w:eastAsia="Times New Roman" w:hAnsi="Arial" w:cs="Arial"/>
          <w:color w:val="000000" w:themeColor="text1"/>
          <w:sz w:val="20"/>
          <w:szCs w:val="20"/>
        </w:rPr>
        <w:t xml:space="preserve"> Revenue Budget</w:t>
      </w:r>
      <w:r w:rsidR="008D4F84" w:rsidRPr="00ED1038">
        <w:rPr>
          <w:rFonts w:ascii="Arial" w:eastAsia="Times New Roman" w:hAnsi="Arial" w:cs="Arial"/>
          <w:color w:val="000000" w:themeColor="text1"/>
          <w:sz w:val="20"/>
          <w:szCs w:val="20"/>
        </w:rPr>
        <w:t xml:space="preserve"> 20</w:t>
      </w:r>
      <w:r w:rsidR="008E4654" w:rsidRPr="00ED1038">
        <w:rPr>
          <w:rFonts w:ascii="Arial" w:eastAsia="Times New Roman" w:hAnsi="Arial" w:cs="Arial"/>
          <w:color w:val="000000" w:themeColor="text1"/>
          <w:sz w:val="20"/>
          <w:szCs w:val="20"/>
        </w:rPr>
        <w:t>2</w:t>
      </w:r>
      <w:r w:rsidR="00061415" w:rsidRPr="00ED1038">
        <w:rPr>
          <w:rFonts w:ascii="Arial" w:eastAsia="Times New Roman" w:hAnsi="Arial" w:cs="Arial"/>
          <w:color w:val="000000" w:themeColor="text1"/>
          <w:sz w:val="20"/>
          <w:szCs w:val="20"/>
        </w:rPr>
        <w:t>1</w:t>
      </w:r>
      <w:r w:rsidR="008D4F84" w:rsidRPr="00ED1038">
        <w:rPr>
          <w:rFonts w:ascii="Arial" w:eastAsia="Times New Roman" w:hAnsi="Arial" w:cs="Arial"/>
          <w:color w:val="000000" w:themeColor="text1"/>
          <w:sz w:val="20"/>
          <w:szCs w:val="20"/>
        </w:rPr>
        <w:t>/2</w:t>
      </w:r>
      <w:r w:rsidR="00061415" w:rsidRPr="00ED1038">
        <w:rPr>
          <w:rFonts w:ascii="Arial" w:eastAsia="Times New Roman" w:hAnsi="Arial" w:cs="Arial"/>
          <w:color w:val="000000" w:themeColor="text1"/>
          <w:sz w:val="20"/>
          <w:szCs w:val="20"/>
        </w:rPr>
        <w:t>2</w:t>
      </w:r>
      <w:r w:rsidRPr="00ED1038">
        <w:rPr>
          <w:rFonts w:ascii="Arial" w:eastAsia="Times New Roman" w:hAnsi="Arial" w:cs="Arial"/>
          <w:color w:val="000000" w:themeColor="text1"/>
          <w:sz w:val="20"/>
          <w:szCs w:val="20"/>
        </w:rPr>
        <w:t>.</w:t>
      </w:r>
    </w:p>
    <w:p w14:paraId="496432FB" w14:textId="0B5C5C73" w:rsidR="00420999" w:rsidRPr="00ED1038" w:rsidRDefault="00420999" w:rsidP="00CE41E7">
      <w:pPr>
        <w:tabs>
          <w:tab w:val="left" w:pos="720"/>
        </w:tabs>
        <w:spacing w:after="0" w:line="240" w:lineRule="auto"/>
        <w:ind w:left="720" w:hanging="720"/>
        <w:jc w:val="both"/>
        <w:rPr>
          <w:rFonts w:ascii="Arial" w:eastAsia="Times New Roman" w:hAnsi="Arial" w:cs="Arial"/>
          <w:sz w:val="20"/>
          <w:szCs w:val="20"/>
        </w:rPr>
      </w:pPr>
    </w:p>
    <w:p w14:paraId="1BBFEFE0" w14:textId="77777777" w:rsidR="00083992" w:rsidRPr="00ED1038" w:rsidRDefault="00083992" w:rsidP="00CE41E7">
      <w:pPr>
        <w:tabs>
          <w:tab w:val="left" w:pos="720"/>
        </w:tabs>
        <w:spacing w:after="0" w:line="240" w:lineRule="auto"/>
        <w:ind w:left="720" w:hanging="720"/>
        <w:jc w:val="both"/>
        <w:rPr>
          <w:rFonts w:ascii="Arial" w:eastAsia="Times New Roman" w:hAnsi="Arial" w:cs="Arial"/>
          <w:sz w:val="20"/>
          <w:szCs w:val="20"/>
        </w:rPr>
      </w:pPr>
    </w:p>
    <w:p w14:paraId="24049543" w14:textId="77777777" w:rsidR="001D48BC" w:rsidRPr="00ED1038" w:rsidRDefault="001D48BC" w:rsidP="00CE41E7">
      <w:pPr>
        <w:tabs>
          <w:tab w:val="left" w:pos="720"/>
          <w:tab w:val="left" w:pos="1134"/>
          <w:tab w:val="left" w:pos="2304"/>
          <w:tab w:val="left" w:pos="2880"/>
          <w:tab w:val="left" w:pos="8647"/>
        </w:tabs>
        <w:spacing w:after="0" w:line="240" w:lineRule="auto"/>
        <w:ind w:left="720" w:hanging="720"/>
        <w:jc w:val="both"/>
        <w:rPr>
          <w:rFonts w:ascii="Arial" w:eastAsia="Times New Roman" w:hAnsi="Arial" w:cs="Arial"/>
          <w:b/>
          <w:sz w:val="20"/>
          <w:szCs w:val="20"/>
        </w:rPr>
      </w:pPr>
      <w:r w:rsidRPr="00ED1038">
        <w:rPr>
          <w:rFonts w:ascii="Arial" w:eastAsia="Times New Roman" w:hAnsi="Arial" w:cs="Arial"/>
          <w:sz w:val="20"/>
          <w:szCs w:val="20"/>
        </w:rPr>
        <w:t>4</w:t>
      </w:r>
      <w:r w:rsidRPr="00ED1038">
        <w:rPr>
          <w:rFonts w:ascii="Arial" w:eastAsia="Times New Roman" w:hAnsi="Arial" w:cs="Arial"/>
          <w:b/>
          <w:sz w:val="20"/>
          <w:szCs w:val="20"/>
        </w:rPr>
        <w:tab/>
        <w:t>BACKGROUND</w:t>
      </w:r>
    </w:p>
    <w:p w14:paraId="5EDEE927" w14:textId="77777777" w:rsidR="001136B6" w:rsidRPr="00ED1038" w:rsidRDefault="001136B6" w:rsidP="00CE41E7">
      <w:pPr>
        <w:tabs>
          <w:tab w:val="left" w:pos="720"/>
          <w:tab w:val="left" w:pos="1134"/>
          <w:tab w:val="left" w:pos="2304"/>
          <w:tab w:val="left" w:pos="2880"/>
          <w:tab w:val="left" w:pos="8647"/>
        </w:tabs>
        <w:spacing w:after="0" w:line="240" w:lineRule="auto"/>
        <w:ind w:left="720" w:hanging="720"/>
        <w:jc w:val="both"/>
        <w:rPr>
          <w:rFonts w:ascii="Arial" w:eastAsia="Times New Roman" w:hAnsi="Arial" w:cs="Arial"/>
          <w:b/>
          <w:sz w:val="20"/>
          <w:szCs w:val="20"/>
        </w:rPr>
      </w:pPr>
    </w:p>
    <w:p w14:paraId="28A377C1" w14:textId="77777777" w:rsidR="001136B6" w:rsidRPr="00ED1038" w:rsidRDefault="001136B6" w:rsidP="00CE41E7">
      <w:pPr>
        <w:tabs>
          <w:tab w:val="left" w:pos="720"/>
          <w:tab w:val="left" w:pos="1134"/>
          <w:tab w:val="left" w:pos="2304"/>
          <w:tab w:val="left" w:pos="2880"/>
          <w:tab w:val="left" w:pos="8647"/>
        </w:tabs>
        <w:spacing w:after="0" w:line="240" w:lineRule="auto"/>
        <w:ind w:left="720" w:hanging="720"/>
        <w:jc w:val="both"/>
        <w:rPr>
          <w:rFonts w:ascii="Arial" w:eastAsia="Times New Roman" w:hAnsi="Arial" w:cs="Arial"/>
          <w:sz w:val="20"/>
          <w:szCs w:val="20"/>
        </w:rPr>
      </w:pPr>
      <w:r w:rsidRPr="00ED1038">
        <w:rPr>
          <w:rFonts w:ascii="Arial" w:eastAsia="Times New Roman" w:hAnsi="Arial" w:cs="Arial"/>
          <w:sz w:val="20"/>
          <w:szCs w:val="20"/>
        </w:rPr>
        <w:t>4.1</w:t>
      </w:r>
      <w:r w:rsidRPr="00ED1038">
        <w:rPr>
          <w:rFonts w:ascii="Arial" w:eastAsia="Times New Roman" w:hAnsi="Arial" w:cs="Arial"/>
          <w:sz w:val="20"/>
          <w:szCs w:val="20"/>
        </w:rPr>
        <w:tab/>
      </w:r>
      <w:r w:rsidRPr="00ED1038">
        <w:rPr>
          <w:rFonts w:ascii="Arial" w:eastAsia="Times New Roman" w:hAnsi="Arial" w:cs="Arial"/>
          <w:color w:val="000000" w:themeColor="text1"/>
          <w:sz w:val="20"/>
          <w:szCs w:val="20"/>
        </w:rPr>
        <w:t xml:space="preserve">This report sets out the </w:t>
      </w:r>
      <w:r w:rsidR="00BD62D0" w:rsidRPr="00ED1038">
        <w:rPr>
          <w:rFonts w:ascii="Arial" w:eastAsia="Times New Roman" w:hAnsi="Arial" w:cs="Arial"/>
          <w:color w:val="000000" w:themeColor="text1"/>
          <w:sz w:val="20"/>
          <w:szCs w:val="20"/>
        </w:rPr>
        <w:t>Provisional Housing (HRA) Revenue Budget 202</w:t>
      </w:r>
      <w:r w:rsidR="00061415" w:rsidRPr="00ED1038">
        <w:rPr>
          <w:rFonts w:ascii="Arial" w:eastAsia="Times New Roman" w:hAnsi="Arial" w:cs="Arial"/>
          <w:color w:val="000000" w:themeColor="text1"/>
          <w:sz w:val="20"/>
          <w:szCs w:val="20"/>
        </w:rPr>
        <w:t>2</w:t>
      </w:r>
      <w:r w:rsidR="00BD62D0" w:rsidRPr="00ED1038">
        <w:rPr>
          <w:rFonts w:ascii="Arial" w:eastAsia="Times New Roman" w:hAnsi="Arial" w:cs="Arial"/>
          <w:color w:val="000000" w:themeColor="text1"/>
          <w:sz w:val="20"/>
          <w:szCs w:val="20"/>
        </w:rPr>
        <w:t>/2</w:t>
      </w:r>
      <w:r w:rsidR="00061415" w:rsidRPr="00ED1038">
        <w:rPr>
          <w:rFonts w:ascii="Arial" w:eastAsia="Times New Roman" w:hAnsi="Arial" w:cs="Arial"/>
          <w:color w:val="000000" w:themeColor="text1"/>
          <w:sz w:val="20"/>
          <w:szCs w:val="20"/>
        </w:rPr>
        <w:t>3</w:t>
      </w:r>
      <w:r w:rsidR="00BD62D0" w:rsidRPr="00ED1038">
        <w:rPr>
          <w:rFonts w:ascii="Arial" w:eastAsia="Times New Roman" w:hAnsi="Arial" w:cs="Arial"/>
          <w:color w:val="000000" w:themeColor="text1"/>
          <w:sz w:val="20"/>
          <w:szCs w:val="20"/>
        </w:rPr>
        <w:t xml:space="preserve"> </w:t>
      </w:r>
      <w:r w:rsidR="00F81F55" w:rsidRPr="00ED1038">
        <w:rPr>
          <w:rFonts w:ascii="Arial" w:eastAsia="Times New Roman" w:hAnsi="Arial" w:cs="Arial"/>
          <w:color w:val="000000" w:themeColor="text1"/>
          <w:sz w:val="20"/>
          <w:szCs w:val="20"/>
        </w:rPr>
        <w:t>and the rent levels that would be required to fund this</w:t>
      </w:r>
      <w:r w:rsidR="00266609" w:rsidRPr="00ED1038">
        <w:rPr>
          <w:rFonts w:ascii="Arial" w:eastAsia="Times New Roman" w:hAnsi="Arial" w:cs="Arial"/>
          <w:color w:val="000000" w:themeColor="text1"/>
          <w:sz w:val="20"/>
          <w:szCs w:val="20"/>
        </w:rPr>
        <w:t xml:space="preserve"> expenditure</w:t>
      </w:r>
      <w:r w:rsidR="00F81F55" w:rsidRPr="00ED1038">
        <w:rPr>
          <w:rFonts w:ascii="Arial" w:eastAsia="Times New Roman" w:hAnsi="Arial" w:cs="Arial"/>
          <w:color w:val="000000" w:themeColor="text1"/>
          <w:sz w:val="20"/>
          <w:szCs w:val="20"/>
        </w:rPr>
        <w:t xml:space="preserve">.  </w:t>
      </w:r>
      <w:r w:rsidRPr="00ED1038">
        <w:rPr>
          <w:rFonts w:ascii="Arial" w:eastAsia="Times New Roman" w:hAnsi="Arial" w:cs="Arial"/>
          <w:color w:val="000000" w:themeColor="text1"/>
          <w:sz w:val="20"/>
          <w:szCs w:val="20"/>
        </w:rPr>
        <w:t>The HRA cannot be subsidised by any other Council funds.  All of the proposed options</w:t>
      </w:r>
      <w:r w:rsidR="00F81F55" w:rsidRPr="00ED1038">
        <w:rPr>
          <w:rFonts w:ascii="Arial" w:eastAsia="Times New Roman" w:hAnsi="Arial" w:cs="Arial"/>
          <w:color w:val="000000" w:themeColor="text1"/>
          <w:sz w:val="20"/>
          <w:szCs w:val="20"/>
        </w:rPr>
        <w:t xml:space="preserve"> that are being recommended for consultation </w:t>
      </w:r>
      <w:r w:rsidRPr="00ED1038">
        <w:rPr>
          <w:rFonts w:ascii="Arial" w:eastAsia="Times New Roman" w:hAnsi="Arial" w:cs="Arial"/>
          <w:color w:val="000000" w:themeColor="text1"/>
          <w:sz w:val="20"/>
          <w:szCs w:val="20"/>
        </w:rPr>
        <w:t>will result in the 20</w:t>
      </w:r>
      <w:r w:rsidR="008D4F84" w:rsidRPr="00ED1038">
        <w:rPr>
          <w:rFonts w:ascii="Arial" w:eastAsia="Times New Roman" w:hAnsi="Arial" w:cs="Arial"/>
          <w:color w:val="000000" w:themeColor="text1"/>
          <w:sz w:val="20"/>
          <w:szCs w:val="20"/>
        </w:rPr>
        <w:t>2</w:t>
      </w:r>
      <w:r w:rsidR="00220994" w:rsidRPr="00ED1038">
        <w:rPr>
          <w:rFonts w:ascii="Arial" w:eastAsia="Times New Roman" w:hAnsi="Arial" w:cs="Arial"/>
          <w:color w:val="000000" w:themeColor="text1"/>
          <w:sz w:val="20"/>
          <w:szCs w:val="20"/>
        </w:rPr>
        <w:t>2</w:t>
      </w:r>
      <w:r w:rsidRPr="00ED1038">
        <w:rPr>
          <w:rFonts w:ascii="Arial" w:eastAsia="Times New Roman" w:hAnsi="Arial" w:cs="Arial"/>
          <w:color w:val="000000" w:themeColor="text1"/>
          <w:sz w:val="20"/>
          <w:szCs w:val="20"/>
        </w:rPr>
        <w:t>/</w:t>
      </w:r>
      <w:r w:rsidR="00D66674" w:rsidRPr="00ED1038">
        <w:rPr>
          <w:rFonts w:ascii="Arial" w:eastAsia="Times New Roman" w:hAnsi="Arial" w:cs="Arial"/>
          <w:color w:val="000000" w:themeColor="text1"/>
          <w:sz w:val="20"/>
          <w:szCs w:val="20"/>
        </w:rPr>
        <w:t>2</w:t>
      </w:r>
      <w:r w:rsidR="00220994" w:rsidRPr="00ED1038">
        <w:rPr>
          <w:rFonts w:ascii="Arial" w:eastAsia="Times New Roman" w:hAnsi="Arial" w:cs="Arial"/>
          <w:color w:val="000000" w:themeColor="text1"/>
          <w:sz w:val="20"/>
          <w:szCs w:val="20"/>
        </w:rPr>
        <w:t>3</w:t>
      </w:r>
      <w:r w:rsidR="008D4F84" w:rsidRPr="00ED1038">
        <w:rPr>
          <w:rFonts w:ascii="Arial" w:eastAsia="Times New Roman" w:hAnsi="Arial" w:cs="Arial"/>
          <w:color w:val="000000" w:themeColor="text1"/>
          <w:sz w:val="20"/>
          <w:szCs w:val="20"/>
        </w:rPr>
        <w:t xml:space="preserve"> Housing</w:t>
      </w:r>
      <w:r w:rsidRPr="00ED1038">
        <w:rPr>
          <w:rFonts w:ascii="Arial" w:eastAsia="Times New Roman" w:hAnsi="Arial" w:cs="Arial"/>
          <w:color w:val="000000" w:themeColor="text1"/>
          <w:sz w:val="20"/>
          <w:szCs w:val="20"/>
        </w:rPr>
        <w:t xml:space="preserve"> HRA Revenue Budget being self-balancing.</w:t>
      </w:r>
    </w:p>
    <w:p w14:paraId="2235E0E3" w14:textId="77777777" w:rsidR="0046596D" w:rsidRPr="00ED1038" w:rsidRDefault="0046596D" w:rsidP="00C27DC7">
      <w:pPr>
        <w:tabs>
          <w:tab w:val="left" w:pos="567"/>
          <w:tab w:val="left" w:pos="1134"/>
          <w:tab w:val="left" w:pos="2304"/>
          <w:tab w:val="left" w:pos="2880"/>
          <w:tab w:val="left" w:pos="8647"/>
        </w:tabs>
        <w:spacing w:after="0" w:line="240" w:lineRule="auto"/>
        <w:ind w:left="567" w:hanging="567"/>
        <w:jc w:val="both"/>
        <w:rPr>
          <w:rFonts w:ascii="Arial" w:eastAsia="Times New Roman" w:hAnsi="Arial" w:cs="Arial"/>
          <w:sz w:val="20"/>
          <w:szCs w:val="20"/>
        </w:rPr>
      </w:pPr>
    </w:p>
    <w:p w14:paraId="080119AB" w14:textId="77777777" w:rsidR="001136B6" w:rsidRPr="00ED1038" w:rsidRDefault="001136B6" w:rsidP="00C27DC7">
      <w:pPr>
        <w:tabs>
          <w:tab w:val="left" w:pos="567"/>
          <w:tab w:val="left" w:pos="1134"/>
          <w:tab w:val="left" w:pos="2304"/>
          <w:tab w:val="left" w:pos="2880"/>
          <w:tab w:val="left" w:pos="8647"/>
        </w:tabs>
        <w:spacing w:after="0" w:line="240" w:lineRule="auto"/>
        <w:ind w:left="567" w:hanging="567"/>
        <w:jc w:val="both"/>
        <w:rPr>
          <w:rFonts w:ascii="Arial" w:eastAsia="Times New Roman" w:hAnsi="Arial" w:cs="Arial"/>
          <w:sz w:val="20"/>
          <w:szCs w:val="20"/>
        </w:rPr>
      </w:pPr>
    </w:p>
    <w:p w14:paraId="2D426740" w14:textId="72A7C26B" w:rsidR="001136B6" w:rsidRPr="00ED1038" w:rsidRDefault="001136B6" w:rsidP="00CE41E7">
      <w:pPr>
        <w:tabs>
          <w:tab w:val="left" w:pos="720"/>
          <w:tab w:val="left" w:pos="1134"/>
          <w:tab w:val="left" w:pos="2304"/>
          <w:tab w:val="left" w:pos="2880"/>
          <w:tab w:val="left" w:pos="8647"/>
        </w:tabs>
        <w:spacing w:after="0" w:line="240" w:lineRule="auto"/>
        <w:ind w:left="720" w:hanging="720"/>
        <w:jc w:val="both"/>
        <w:rPr>
          <w:rFonts w:ascii="Arial" w:eastAsia="Times New Roman" w:hAnsi="Arial" w:cs="Arial"/>
          <w:b/>
          <w:sz w:val="20"/>
          <w:szCs w:val="20"/>
        </w:rPr>
      </w:pPr>
      <w:r w:rsidRPr="00ED1038">
        <w:rPr>
          <w:rFonts w:ascii="Arial" w:eastAsia="Times New Roman" w:hAnsi="Arial" w:cs="Arial"/>
          <w:sz w:val="20"/>
          <w:szCs w:val="20"/>
        </w:rPr>
        <w:t>5</w:t>
      </w:r>
      <w:r w:rsidRPr="00ED1038">
        <w:rPr>
          <w:rFonts w:ascii="Arial" w:eastAsia="Times New Roman" w:hAnsi="Arial" w:cs="Arial"/>
          <w:sz w:val="20"/>
          <w:szCs w:val="20"/>
        </w:rPr>
        <w:tab/>
      </w:r>
      <w:r w:rsidRPr="00ED1038">
        <w:rPr>
          <w:rFonts w:ascii="Arial" w:eastAsia="Times New Roman" w:hAnsi="Arial" w:cs="Arial"/>
          <w:b/>
          <w:sz w:val="20"/>
          <w:szCs w:val="20"/>
        </w:rPr>
        <w:t>PROVISIONAL REVENUE BUDGET 20</w:t>
      </w:r>
      <w:r w:rsidR="008D4F84" w:rsidRPr="00ED1038">
        <w:rPr>
          <w:rFonts w:ascii="Arial" w:eastAsia="Times New Roman" w:hAnsi="Arial" w:cs="Arial"/>
          <w:b/>
          <w:sz w:val="20"/>
          <w:szCs w:val="20"/>
        </w:rPr>
        <w:t>2</w:t>
      </w:r>
      <w:r w:rsidR="000E229D">
        <w:rPr>
          <w:rFonts w:ascii="Arial" w:eastAsia="Times New Roman" w:hAnsi="Arial" w:cs="Arial"/>
          <w:b/>
          <w:sz w:val="20"/>
          <w:szCs w:val="20"/>
        </w:rPr>
        <w:t>2</w:t>
      </w:r>
      <w:r w:rsidRPr="00ED1038">
        <w:rPr>
          <w:rFonts w:ascii="Arial" w:eastAsia="Times New Roman" w:hAnsi="Arial" w:cs="Arial"/>
          <w:b/>
          <w:sz w:val="20"/>
          <w:szCs w:val="20"/>
        </w:rPr>
        <w:t>/</w:t>
      </w:r>
      <w:r w:rsidR="008D4F84" w:rsidRPr="00ED1038">
        <w:rPr>
          <w:rFonts w:ascii="Arial" w:eastAsia="Times New Roman" w:hAnsi="Arial" w:cs="Arial"/>
          <w:b/>
          <w:sz w:val="20"/>
          <w:szCs w:val="20"/>
        </w:rPr>
        <w:t>2</w:t>
      </w:r>
      <w:r w:rsidR="000E229D">
        <w:rPr>
          <w:rFonts w:ascii="Arial" w:eastAsia="Times New Roman" w:hAnsi="Arial" w:cs="Arial"/>
          <w:b/>
          <w:sz w:val="20"/>
          <w:szCs w:val="20"/>
        </w:rPr>
        <w:t>3</w:t>
      </w:r>
    </w:p>
    <w:p w14:paraId="677FC994" w14:textId="77777777" w:rsidR="001D48BC" w:rsidRPr="00ED1038" w:rsidRDefault="001D48BC" w:rsidP="00CE41E7">
      <w:pPr>
        <w:tabs>
          <w:tab w:val="left" w:pos="720"/>
          <w:tab w:val="left" w:pos="1134"/>
          <w:tab w:val="left" w:pos="2304"/>
          <w:tab w:val="left" w:pos="2880"/>
          <w:tab w:val="left" w:pos="8647"/>
        </w:tabs>
        <w:spacing w:after="0" w:line="240" w:lineRule="auto"/>
        <w:ind w:left="720" w:hanging="720"/>
        <w:jc w:val="both"/>
        <w:rPr>
          <w:rFonts w:ascii="Arial" w:eastAsia="Times New Roman" w:hAnsi="Arial" w:cs="Arial"/>
          <w:color w:val="000000" w:themeColor="text1"/>
          <w:sz w:val="20"/>
          <w:szCs w:val="20"/>
        </w:rPr>
      </w:pPr>
    </w:p>
    <w:p w14:paraId="2C652FF9" w14:textId="71536823" w:rsidR="001D48BC" w:rsidRPr="00ED1038" w:rsidRDefault="007147ED" w:rsidP="00CE41E7">
      <w:pPr>
        <w:tabs>
          <w:tab w:val="left" w:pos="720"/>
          <w:tab w:val="left" w:pos="1134"/>
          <w:tab w:val="left" w:pos="2304"/>
          <w:tab w:val="left" w:pos="2880"/>
          <w:tab w:val="left" w:pos="8647"/>
        </w:tabs>
        <w:spacing w:after="0" w:line="240" w:lineRule="auto"/>
        <w:ind w:left="720" w:hanging="720"/>
        <w:jc w:val="both"/>
        <w:rPr>
          <w:rFonts w:ascii="Arial" w:eastAsia="Times New Roman" w:hAnsi="Arial" w:cs="Arial"/>
          <w:color w:val="000000" w:themeColor="text1"/>
          <w:sz w:val="20"/>
          <w:szCs w:val="20"/>
        </w:rPr>
      </w:pPr>
      <w:r w:rsidRPr="00ED1038">
        <w:rPr>
          <w:rFonts w:ascii="Arial" w:eastAsia="Times New Roman" w:hAnsi="Arial" w:cs="Arial"/>
          <w:color w:val="000000" w:themeColor="text1"/>
          <w:sz w:val="20"/>
          <w:szCs w:val="20"/>
        </w:rPr>
        <w:t>5</w:t>
      </w:r>
      <w:r w:rsidR="001D48BC" w:rsidRPr="00ED1038">
        <w:rPr>
          <w:rFonts w:ascii="Arial" w:eastAsia="Times New Roman" w:hAnsi="Arial" w:cs="Arial"/>
          <w:color w:val="000000" w:themeColor="text1"/>
          <w:sz w:val="20"/>
          <w:szCs w:val="20"/>
        </w:rPr>
        <w:t>.1</w:t>
      </w:r>
      <w:r w:rsidR="001D48BC" w:rsidRPr="00ED1038">
        <w:rPr>
          <w:rFonts w:ascii="Arial" w:eastAsia="Times New Roman" w:hAnsi="Arial" w:cs="Arial"/>
          <w:color w:val="000000" w:themeColor="text1"/>
          <w:sz w:val="20"/>
          <w:szCs w:val="20"/>
        </w:rPr>
        <w:tab/>
      </w:r>
      <w:r w:rsidR="00FB319F" w:rsidRPr="00ED1038">
        <w:rPr>
          <w:rFonts w:ascii="Arial" w:eastAsia="Times New Roman" w:hAnsi="Arial" w:cs="Arial"/>
          <w:color w:val="000000" w:themeColor="text1"/>
          <w:sz w:val="20"/>
          <w:szCs w:val="20"/>
        </w:rPr>
        <w:t>In January 20</w:t>
      </w:r>
      <w:r w:rsidR="008E4654" w:rsidRPr="00ED1038">
        <w:rPr>
          <w:rFonts w:ascii="Arial" w:eastAsia="Times New Roman" w:hAnsi="Arial" w:cs="Arial"/>
          <w:color w:val="000000" w:themeColor="text1"/>
          <w:sz w:val="20"/>
          <w:szCs w:val="20"/>
        </w:rPr>
        <w:t>2</w:t>
      </w:r>
      <w:r w:rsidR="00220994" w:rsidRPr="00ED1038">
        <w:rPr>
          <w:rFonts w:ascii="Arial" w:eastAsia="Times New Roman" w:hAnsi="Arial" w:cs="Arial"/>
          <w:color w:val="000000" w:themeColor="text1"/>
          <w:sz w:val="20"/>
          <w:szCs w:val="20"/>
        </w:rPr>
        <w:t>1</w:t>
      </w:r>
      <w:r w:rsidR="00FB319F" w:rsidRPr="00ED1038">
        <w:rPr>
          <w:rFonts w:ascii="Arial" w:eastAsia="Times New Roman" w:hAnsi="Arial" w:cs="Arial"/>
          <w:color w:val="000000" w:themeColor="text1"/>
          <w:sz w:val="20"/>
          <w:szCs w:val="20"/>
        </w:rPr>
        <w:t xml:space="preserve"> the Housing (HRA) Revenue Budget 20</w:t>
      </w:r>
      <w:r w:rsidR="008E4654" w:rsidRPr="00ED1038">
        <w:rPr>
          <w:rFonts w:ascii="Arial" w:eastAsia="Times New Roman" w:hAnsi="Arial" w:cs="Arial"/>
          <w:color w:val="000000" w:themeColor="text1"/>
          <w:sz w:val="20"/>
          <w:szCs w:val="20"/>
        </w:rPr>
        <w:t>2</w:t>
      </w:r>
      <w:r w:rsidR="00DC2FFB" w:rsidRPr="00ED1038">
        <w:rPr>
          <w:rFonts w:ascii="Arial" w:eastAsia="Times New Roman" w:hAnsi="Arial" w:cs="Arial"/>
          <w:color w:val="000000" w:themeColor="text1"/>
          <w:sz w:val="20"/>
          <w:szCs w:val="20"/>
        </w:rPr>
        <w:t>1</w:t>
      </w:r>
      <w:r w:rsidR="00FB319F" w:rsidRPr="00ED1038">
        <w:rPr>
          <w:rFonts w:ascii="Arial" w:eastAsia="Times New Roman" w:hAnsi="Arial" w:cs="Arial"/>
          <w:color w:val="000000" w:themeColor="text1"/>
          <w:sz w:val="20"/>
          <w:szCs w:val="20"/>
        </w:rPr>
        <w:t>-2</w:t>
      </w:r>
      <w:r w:rsidR="00DC2FFB" w:rsidRPr="00ED1038">
        <w:rPr>
          <w:rFonts w:ascii="Arial" w:eastAsia="Times New Roman" w:hAnsi="Arial" w:cs="Arial"/>
          <w:color w:val="000000" w:themeColor="text1"/>
          <w:sz w:val="20"/>
          <w:szCs w:val="20"/>
        </w:rPr>
        <w:t>4</w:t>
      </w:r>
      <w:r w:rsidR="00FB319F" w:rsidRPr="00ED1038">
        <w:rPr>
          <w:rFonts w:ascii="Arial" w:eastAsia="Times New Roman" w:hAnsi="Arial" w:cs="Arial"/>
          <w:color w:val="000000" w:themeColor="text1"/>
          <w:sz w:val="20"/>
          <w:szCs w:val="20"/>
        </w:rPr>
        <w:t xml:space="preserve"> and Other Housing Charges 20</w:t>
      </w:r>
      <w:r w:rsidR="008E4654" w:rsidRPr="00ED1038">
        <w:rPr>
          <w:rFonts w:ascii="Arial" w:eastAsia="Times New Roman" w:hAnsi="Arial" w:cs="Arial"/>
          <w:color w:val="000000" w:themeColor="text1"/>
          <w:sz w:val="20"/>
          <w:szCs w:val="20"/>
        </w:rPr>
        <w:t>2</w:t>
      </w:r>
      <w:r w:rsidR="00DC2FFB" w:rsidRPr="00ED1038">
        <w:rPr>
          <w:rFonts w:ascii="Arial" w:eastAsia="Times New Roman" w:hAnsi="Arial" w:cs="Arial"/>
          <w:color w:val="000000" w:themeColor="text1"/>
          <w:sz w:val="20"/>
          <w:szCs w:val="20"/>
        </w:rPr>
        <w:t>1</w:t>
      </w:r>
      <w:r w:rsidR="00FB319F" w:rsidRPr="00ED1038">
        <w:rPr>
          <w:rFonts w:ascii="Arial" w:eastAsia="Times New Roman" w:hAnsi="Arial" w:cs="Arial"/>
          <w:color w:val="000000" w:themeColor="text1"/>
          <w:sz w:val="20"/>
          <w:szCs w:val="20"/>
        </w:rPr>
        <w:t>/2</w:t>
      </w:r>
      <w:r w:rsidR="00DC2FFB" w:rsidRPr="00ED1038">
        <w:rPr>
          <w:rFonts w:ascii="Arial" w:eastAsia="Times New Roman" w:hAnsi="Arial" w:cs="Arial"/>
          <w:color w:val="000000" w:themeColor="text1"/>
          <w:sz w:val="20"/>
          <w:szCs w:val="20"/>
        </w:rPr>
        <w:t>2</w:t>
      </w:r>
      <w:r w:rsidR="00FB319F" w:rsidRPr="00ED1038">
        <w:rPr>
          <w:rFonts w:ascii="Arial" w:eastAsia="Times New Roman" w:hAnsi="Arial" w:cs="Arial"/>
          <w:color w:val="000000" w:themeColor="text1"/>
          <w:sz w:val="20"/>
          <w:szCs w:val="20"/>
        </w:rPr>
        <w:t xml:space="preserve"> was approved by members (Article II of the minute of the meeting of the Policy &amp; Resources Committee on 2</w:t>
      </w:r>
      <w:r w:rsidR="00DC2FFB" w:rsidRPr="00ED1038">
        <w:rPr>
          <w:rFonts w:ascii="Arial" w:eastAsia="Times New Roman" w:hAnsi="Arial" w:cs="Arial"/>
          <w:color w:val="000000" w:themeColor="text1"/>
          <w:sz w:val="20"/>
          <w:szCs w:val="20"/>
        </w:rPr>
        <w:t>5</w:t>
      </w:r>
      <w:r w:rsidR="00FB319F" w:rsidRPr="00ED1038">
        <w:rPr>
          <w:rFonts w:ascii="Arial" w:eastAsia="Times New Roman" w:hAnsi="Arial" w:cs="Arial"/>
          <w:color w:val="000000" w:themeColor="text1"/>
          <w:sz w:val="20"/>
          <w:szCs w:val="20"/>
        </w:rPr>
        <w:t xml:space="preserve"> January 20</w:t>
      </w:r>
      <w:r w:rsidR="008E4654" w:rsidRPr="00ED1038">
        <w:rPr>
          <w:rFonts w:ascii="Arial" w:eastAsia="Times New Roman" w:hAnsi="Arial" w:cs="Arial"/>
          <w:color w:val="000000" w:themeColor="text1"/>
          <w:sz w:val="20"/>
          <w:szCs w:val="20"/>
        </w:rPr>
        <w:t>2</w:t>
      </w:r>
      <w:r w:rsidR="00DC2FFB" w:rsidRPr="00ED1038">
        <w:rPr>
          <w:rFonts w:ascii="Arial" w:eastAsia="Times New Roman" w:hAnsi="Arial" w:cs="Arial"/>
          <w:color w:val="000000" w:themeColor="text1"/>
          <w:sz w:val="20"/>
          <w:szCs w:val="20"/>
        </w:rPr>
        <w:t>1</w:t>
      </w:r>
      <w:r w:rsidR="00FB319F" w:rsidRPr="00ED1038">
        <w:rPr>
          <w:rFonts w:ascii="Arial" w:eastAsia="Times New Roman" w:hAnsi="Arial" w:cs="Arial"/>
          <w:color w:val="000000" w:themeColor="text1"/>
          <w:sz w:val="20"/>
          <w:szCs w:val="20"/>
        </w:rPr>
        <w:t xml:space="preserve">, Report No: </w:t>
      </w:r>
      <w:r w:rsidR="00DC2FFB" w:rsidRPr="00ED1038">
        <w:rPr>
          <w:rFonts w:ascii="Arial" w:eastAsia="Times New Roman" w:hAnsi="Arial" w:cs="Arial"/>
          <w:color w:val="000000" w:themeColor="text1"/>
          <w:sz w:val="20"/>
          <w:szCs w:val="20"/>
        </w:rPr>
        <w:t>42</w:t>
      </w:r>
      <w:r w:rsidR="00FB319F" w:rsidRPr="00ED1038">
        <w:rPr>
          <w:rFonts w:ascii="Arial" w:eastAsia="Times New Roman" w:hAnsi="Arial" w:cs="Arial"/>
          <w:color w:val="000000" w:themeColor="text1"/>
          <w:sz w:val="20"/>
          <w:szCs w:val="20"/>
        </w:rPr>
        <w:t>-20</w:t>
      </w:r>
      <w:r w:rsidR="008E4654" w:rsidRPr="00ED1038">
        <w:rPr>
          <w:rFonts w:ascii="Arial" w:eastAsia="Times New Roman" w:hAnsi="Arial" w:cs="Arial"/>
          <w:color w:val="000000" w:themeColor="text1"/>
          <w:sz w:val="20"/>
          <w:szCs w:val="20"/>
        </w:rPr>
        <w:t>2</w:t>
      </w:r>
      <w:r w:rsidR="00DC2FFB" w:rsidRPr="00ED1038">
        <w:rPr>
          <w:rFonts w:ascii="Arial" w:eastAsia="Times New Roman" w:hAnsi="Arial" w:cs="Arial"/>
          <w:color w:val="000000" w:themeColor="text1"/>
          <w:sz w:val="20"/>
          <w:szCs w:val="20"/>
        </w:rPr>
        <w:t>1</w:t>
      </w:r>
      <w:r w:rsidR="00FB319F" w:rsidRPr="00ED1038">
        <w:rPr>
          <w:rFonts w:ascii="Arial" w:eastAsia="Times New Roman" w:hAnsi="Arial" w:cs="Arial"/>
          <w:color w:val="000000" w:themeColor="text1"/>
          <w:sz w:val="20"/>
          <w:szCs w:val="20"/>
        </w:rPr>
        <w:t xml:space="preserve"> refers).</w:t>
      </w:r>
    </w:p>
    <w:p w14:paraId="40EE2AF0" w14:textId="77777777" w:rsidR="00141E39" w:rsidRPr="00ED1038" w:rsidRDefault="00141E39" w:rsidP="00CE41E7">
      <w:pPr>
        <w:tabs>
          <w:tab w:val="left" w:pos="720"/>
          <w:tab w:val="left" w:pos="1134"/>
          <w:tab w:val="left" w:pos="2304"/>
          <w:tab w:val="left" w:pos="2880"/>
          <w:tab w:val="left" w:pos="8647"/>
        </w:tabs>
        <w:spacing w:after="0" w:line="240" w:lineRule="auto"/>
        <w:ind w:left="720" w:hanging="720"/>
        <w:jc w:val="both"/>
        <w:rPr>
          <w:rFonts w:ascii="Arial" w:eastAsia="Times New Roman" w:hAnsi="Arial" w:cs="Arial"/>
          <w:color w:val="000000" w:themeColor="text1"/>
          <w:sz w:val="20"/>
          <w:szCs w:val="20"/>
        </w:rPr>
      </w:pPr>
    </w:p>
    <w:p w14:paraId="0BF21DF8" w14:textId="48124C9B" w:rsidR="00141E39" w:rsidRPr="00ED1038" w:rsidRDefault="00141E39" w:rsidP="00CE41E7">
      <w:pPr>
        <w:tabs>
          <w:tab w:val="left" w:pos="720"/>
        </w:tabs>
        <w:spacing w:after="0" w:line="240" w:lineRule="auto"/>
        <w:ind w:left="720" w:hanging="720"/>
        <w:jc w:val="both"/>
        <w:rPr>
          <w:rFonts w:ascii="Arial" w:eastAsia="Times New Roman" w:hAnsi="Arial" w:cs="Arial"/>
          <w:color w:val="000000" w:themeColor="text1"/>
          <w:sz w:val="20"/>
          <w:szCs w:val="20"/>
        </w:rPr>
      </w:pPr>
      <w:r w:rsidRPr="00ED1038">
        <w:rPr>
          <w:rFonts w:ascii="Arial" w:eastAsia="Times New Roman" w:hAnsi="Arial" w:cs="Arial"/>
          <w:color w:val="000000" w:themeColor="text1"/>
          <w:sz w:val="20"/>
          <w:szCs w:val="20"/>
        </w:rPr>
        <w:t>5.2</w:t>
      </w:r>
      <w:r w:rsidRPr="00ED1038">
        <w:rPr>
          <w:rFonts w:ascii="Arial" w:eastAsia="Times New Roman" w:hAnsi="Arial" w:cs="Arial"/>
          <w:color w:val="000000" w:themeColor="text1"/>
          <w:sz w:val="20"/>
          <w:szCs w:val="20"/>
        </w:rPr>
        <w:tab/>
      </w:r>
      <w:r w:rsidR="00E8766C" w:rsidRPr="00ED1038">
        <w:rPr>
          <w:rFonts w:ascii="Arial" w:eastAsia="Times New Roman" w:hAnsi="Arial" w:cs="Arial"/>
          <w:color w:val="000000" w:themeColor="text1"/>
          <w:sz w:val="20"/>
          <w:szCs w:val="20"/>
        </w:rPr>
        <w:t>Over the past few months the Executive Director of Neighbourhood Services, has reviewed the Provisional Housing (HRA) Revenue Budget 2022/23 that was included in the above report</w:t>
      </w:r>
      <w:r w:rsidR="00E8766C" w:rsidRPr="00ED1038">
        <w:rPr>
          <w:rFonts w:ascii="Arial" w:hAnsi="Arial" w:cs="Arial"/>
          <w:sz w:val="20"/>
          <w:szCs w:val="20"/>
        </w:rPr>
        <w:t xml:space="preserve">.  </w:t>
      </w:r>
      <w:r w:rsidR="00FB319F" w:rsidRPr="00ED1038">
        <w:rPr>
          <w:rFonts w:ascii="Arial" w:eastAsia="Times New Roman" w:hAnsi="Arial" w:cs="Arial"/>
          <w:color w:val="000000" w:themeColor="text1"/>
          <w:sz w:val="20"/>
          <w:szCs w:val="20"/>
        </w:rPr>
        <w:t xml:space="preserve">The </w:t>
      </w:r>
      <w:r w:rsidR="00F6227F" w:rsidRPr="00ED1038">
        <w:rPr>
          <w:rFonts w:ascii="Arial" w:eastAsia="Times New Roman" w:hAnsi="Arial" w:cs="Arial"/>
          <w:color w:val="000000" w:themeColor="text1"/>
          <w:sz w:val="20"/>
          <w:szCs w:val="20"/>
        </w:rPr>
        <w:t>budget</w:t>
      </w:r>
      <w:r w:rsidR="00FB319F" w:rsidRPr="00ED1038">
        <w:rPr>
          <w:rFonts w:ascii="Arial" w:eastAsia="Times New Roman" w:hAnsi="Arial" w:cs="Arial"/>
          <w:color w:val="000000" w:themeColor="text1"/>
          <w:sz w:val="20"/>
          <w:szCs w:val="20"/>
        </w:rPr>
        <w:t xml:space="preserve"> has been updated to reflect any </w:t>
      </w:r>
      <w:r w:rsidR="00FC43A5" w:rsidRPr="00ED1038">
        <w:rPr>
          <w:rFonts w:ascii="Arial" w:eastAsia="Times New Roman" w:hAnsi="Arial" w:cs="Arial"/>
          <w:color w:val="000000" w:themeColor="text1"/>
          <w:sz w:val="20"/>
          <w:szCs w:val="20"/>
        </w:rPr>
        <w:t xml:space="preserve">necessary </w:t>
      </w:r>
      <w:r w:rsidR="00FB319F" w:rsidRPr="00ED1038">
        <w:rPr>
          <w:rFonts w:ascii="Arial" w:eastAsia="Times New Roman" w:hAnsi="Arial" w:cs="Arial"/>
          <w:color w:val="000000" w:themeColor="text1"/>
          <w:sz w:val="20"/>
          <w:szCs w:val="20"/>
        </w:rPr>
        <w:t>cost pressures and savings that have been identified through the 20</w:t>
      </w:r>
      <w:r w:rsidR="005A561E" w:rsidRPr="00ED1038">
        <w:rPr>
          <w:rFonts w:ascii="Arial" w:eastAsia="Times New Roman" w:hAnsi="Arial" w:cs="Arial"/>
          <w:color w:val="000000" w:themeColor="text1"/>
          <w:sz w:val="20"/>
          <w:szCs w:val="20"/>
        </w:rPr>
        <w:t>2</w:t>
      </w:r>
      <w:r w:rsidR="00DC2FFB" w:rsidRPr="00ED1038">
        <w:rPr>
          <w:rFonts w:ascii="Arial" w:eastAsia="Times New Roman" w:hAnsi="Arial" w:cs="Arial"/>
          <w:color w:val="000000" w:themeColor="text1"/>
          <w:sz w:val="20"/>
          <w:szCs w:val="20"/>
        </w:rPr>
        <w:t>1</w:t>
      </w:r>
      <w:r w:rsidR="00FB319F" w:rsidRPr="00ED1038">
        <w:rPr>
          <w:rFonts w:ascii="Arial" w:eastAsia="Times New Roman" w:hAnsi="Arial" w:cs="Arial"/>
          <w:color w:val="000000" w:themeColor="text1"/>
          <w:sz w:val="20"/>
          <w:szCs w:val="20"/>
        </w:rPr>
        <w:t>/</w:t>
      </w:r>
      <w:r w:rsidR="00800B6E" w:rsidRPr="00ED1038">
        <w:rPr>
          <w:rFonts w:ascii="Arial" w:eastAsia="Times New Roman" w:hAnsi="Arial" w:cs="Arial"/>
          <w:color w:val="000000" w:themeColor="text1"/>
          <w:sz w:val="20"/>
          <w:szCs w:val="20"/>
        </w:rPr>
        <w:t>2</w:t>
      </w:r>
      <w:r w:rsidR="00DC2FFB" w:rsidRPr="00ED1038">
        <w:rPr>
          <w:rFonts w:ascii="Arial" w:eastAsia="Times New Roman" w:hAnsi="Arial" w:cs="Arial"/>
          <w:color w:val="000000" w:themeColor="text1"/>
          <w:sz w:val="20"/>
          <w:szCs w:val="20"/>
        </w:rPr>
        <w:t>2</w:t>
      </w:r>
      <w:r w:rsidR="00FB319F" w:rsidRPr="00ED1038">
        <w:rPr>
          <w:rFonts w:ascii="Arial" w:eastAsia="Times New Roman" w:hAnsi="Arial" w:cs="Arial"/>
          <w:color w:val="000000" w:themeColor="text1"/>
          <w:sz w:val="20"/>
          <w:szCs w:val="20"/>
        </w:rPr>
        <w:t xml:space="preserve"> revenue monitoring process to date.  In addition, any new cost pressures that are expected to emerge in 20</w:t>
      </w:r>
      <w:r w:rsidR="00F6227F" w:rsidRPr="00ED1038">
        <w:rPr>
          <w:rFonts w:ascii="Arial" w:eastAsia="Times New Roman" w:hAnsi="Arial" w:cs="Arial"/>
          <w:color w:val="000000" w:themeColor="text1"/>
          <w:sz w:val="20"/>
          <w:szCs w:val="20"/>
        </w:rPr>
        <w:t>2</w:t>
      </w:r>
      <w:r w:rsidR="00DC2FFB" w:rsidRPr="00ED1038">
        <w:rPr>
          <w:rFonts w:ascii="Arial" w:eastAsia="Times New Roman" w:hAnsi="Arial" w:cs="Arial"/>
          <w:color w:val="000000" w:themeColor="text1"/>
          <w:sz w:val="20"/>
          <w:szCs w:val="20"/>
        </w:rPr>
        <w:t>2</w:t>
      </w:r>
      <w:r w:rsidR="00FB319F" w:rsidRPr="00ED1038">
        <w:rPr>
          <w:rFonts w:ascii="Arial" w:eastAsia="Times New Roman" w:hAnsi="Arial" w:cs="Arial"/>
          <w:color w:val="000000" w:themeColor="text1"/>
          <w:sz w:val="20"/>
          <w:szCs w:val="20"/>
        </w:rPr>
        <w:t>/2</w:t>
      </w:r>
      <w:r w:rsidR="00DC2FFB" w:rsidRPr="00ED1038">
        <w:rPr>
          <w:rFonts w:ascii="Arial" w:eastAsia="Times New Roman" w:hAnsi="Arial" w:cs="Arial"/>
          <w:color w:val="000000" w:themeColor="text1"/>
          <w:sz w:val="20"/>
          <w:szCs w:val="20"/>
        </w:rPr>
        <w:t>3</w:t>
      </w:r>
      <w:r w:rsidR="00FB319F" w:rsidRPr="00ED1038">
        <w:rPr>
          <w:rFonts w:ascii="Arial" w:eastAsia="Times New Roman" w:hAnsi="Arial" w:cs="Arial"/>
          <w:color w:val="000000" w:themeColor="text1"/>
          <w:sz w:val="20"/>
          <w:szCs w:val="20"/>
        </w:rPr>
        <w:t xml:space="preserve"> are included along with any additional </w:t>
      </w:r>
      <w:r w:rsidR="00FB319F" w:rsidRPr="00ED1038">
        <w:rPr>
          <w:rFonts w:ascii="Arial" w:eastAsia="Times New Roman" w:hAnsi="Arial" w:cs="Arial"/>
          <w:color w:val="000000" w:themeColor="text1"/>
          <w:sz w:val="20"/>
          <w:szCs w:val="20"/>
        </w:rPr>
        <w:lastRenderedPageBreak/>
        <w:t xml:space="preserve">investment that </w:t>
      </w:r>
      <w:r w:rsidR="00BD4DFA" w:rsidRPr="00ED1038">
        <w:rPr>
          <w:rFonts w:ascii="Arial" w:eastAsia="Times New Roman" w:hAnsi="Arial" w:cs="Arial"/>
          <w:color w:val="000000" w:themeColor="text1"/>
          <w:sz w:val="20"/>
          <w:szCs w:val="20"/>
        </w:rPr>
        <w:t>are proposed in</w:t>
      </w:r>
      <w:r w:rsidR="00FB319F" w:rsidRPr="00ED1038">
        <w:rPr>
          <w:rFonts w:ascii="Arial" w:eastAsia="Times New Roman" w:hAnsi="Arial" w:cs="Arial"/>
          <w:color w:val="000000" w:themeColor="text1"/>
          <w:sz w:val="20"/>
          <w:szCs w:val="20"/>
        </w:rPr>
        <w:t xml:space="preserve"> the budget.  The total expenditure requirement for 202</w:t>
      </w:r>
      <w:r w:rsidR="00DC2FFB" w:rsidRPr="00ED1038">
        <w:rPr>
          <w:rFonts w:ascii="Arial" w:eastAsia="Times New Roman" w:hAnsi="Arial" w:cs="Arial"/>
          <w:color w:val="000000" w:themeColor="text1"/>
          <w:sz w:val="20"/>
          <w:szCs w:val="20"/>
        </w:rPr>
        <w:t>2</w:t>
      </w:r>
      <w:r w:rsidR="00FB319F" w:rsidRPr="00ED1038">
        <w:rPr>
          <w:rFonts w:ascii="Arial" w:eastAsia="Times New Roman" w:hAnsi="Arial" w:cs="Arial"/>
          <w:color w:val="000000" w:themeColor="text1"/>
          <w:sz w:val="20"/>
          <w:szCs w:val="20"/>
        </w:rPr>
        <w:t>/2</w:t>
      </w:r>
      <w:r w:rsidR="00DC2FFB" w:rsidRPr="00ED1038">
        <w:rPr>
          <w:rFonts w:ascii="Arial" w:eastAsia="Times New Roman" w:hAnsi="Arial" w:cs="Arial"/>
          <w:color w:val="000000" w:themeColor="text1"/>
          <w:sz w:val="20"/>
          <w:szCs w:val="20"/>
        </w:rPr>
        <w:t>3</w:t>
      </w:r>
      <w:r w:rsidR="00FB319F" w:rsidRPr="00ED1038">
        <w:rPr>
          <w:rFonts w:ascii="Arial" w:eastAsia="Times New Roman" w:hAnsi="Arial" w:cs="Arial"/>
          <w:color w:val="000000" w:themeColor="text1"/>
          <w:sz w:val="20"/>
          <w:szCs w:val="20"/>
        </w:rPr>
        <w:t xml:space="preserve"> amounts to £</w:t>
      </w:r>
      <w:r w:rsidR="00FC43A5" w:rsidRPr="00ED1038">
        <w:rPr>
          <w:rFonts w:ascii="Arial" w:eastAsia="Times New Roman" w:hAnsi="Arial" w:cs="Arial"/>
          <w:color w:val="000000" w:themeColor="text1"/>
          <w:sz w:val="20"/>
          <w:szCs w:val="20"/>
        </w:rPr>
        <w:t>5</w:t>
      </w:r>
      <w:r w:rsidR="00DC2FFB" w:rsidRPr="00ED1038">
        <w:rPr>
          <w:rFonts w:ascii="Arial" w:eastAsia="Times New Roman" w:hAnsi="Arial" w:cs="Arial"/>
          <w:color w:val="000000" w:themeColor="text1"/>
          <w:sz w:val="20"/>
          <w:szCs w:val="20"/>
        </w:rPr>
        <w:t>6</w:t>
      </w:r>
      <w:r w:rsidR="00FC43A5" w:rsidRPr="00ED1038">
        <w:rPr>
          <w:rFonts w:ascii="Arial" w:eastAsia="Times New Roman" w:hAnsi="Arial" w:cs="Arial"/>
          <w:color w:val="000000" w:themeColor="text1"/>
          <w:sz w:val="20"/>
          <w:szCs w:val="20"/>
        </w:rPr>
        <w:t>.</w:t>
      </w:r>
      <w:r w:rsidR="005C3964" w:rsidRPr="00ED1038">
        <w:rPr>
          <w:rFonts w:ascii="Arial" w:eastAsia="Times New Roman" w:hAnsi="Arial" w:cs="Arial"/>
          <w:color w:val="000000" w:themeColor="text1"/>
          <w:sz w:val="20"/>
          <w:szCs w:val="20"/>
        </w:rPr>
        <w:t>521</w:t>
      </w:r>
      <w:r w:rsidR="00FB319F" w:rsidRPr="00ED1038">
        <w:rPr>
          <w:rFonts w:ascii="Arial" w:eastAsia="Times New Roman" w:hAnsi="Arial" w:cs="Arial"/>
          <w:color w:val="000000" w:themeColor="text1"/>
          <w:sz w:val="20"/>
          <w:szCs w:val="20"/>
        </w:rPr>
        <w:t>m and is further detailed in Appendix 1 to this report.</w:t>
      </w:r>
    </w:p>
    <w:p w14:paraId="62747255" w14:textId="77777777" w:rsidR="00141E39" w:rsidRPr="00ED1038" w:rsidRDefault="00141E39" w:rsidP="00C27DC7">
      <w:pPr>
        <w:tabs>
          <w:tab w:val="left" w:pos="567"/>
          <w:tab w:val="left" w:pos="1134"/>
          <w:tab w:val="left" w:pos="2304"/>
          <w:tab w:val="left" w:pos="2880"/>
          <w:tab w:val="left" w:pos="8647"/>
        </w:tabs>
        <w:spacing w:after="0" w:line="240" w:lineRule="auto"/>
        <w:jc w:val="both"/>
        <w:rPr>
          <w:rFonts w:ascii="Arial" w:eastAsia="Times New Roman" w:hAnsi="Arial" w:cs="Arial"/>
          <w:color w:val="000000" w:themeColor="text1"/>
          <w:sz w:val="20"/>
          <w:szCs w:val="20"/>
        </w:rPr>
      </w:pPr>
    </w:p>
    <w:p w14:paraId="28530C69" w14:textId="23A998C1" w:rsidR="001D48BC" w:rsidRPr="00ED1038" w:rsidRDefault="001B60DF" w:rsidP="00CE41E7">
      <w:pPr>
        <w:tabs>
          <w:tab w:val="left" w:pos="1134"/>
          <w:tab w:val="left" w:pos="2304"/>
          <w:tab w:val="left" w:pos="2880"/>
          <w:tab w:val="left" w:pos="8647"/>
        </w:tabs>
        <w:spacing w:after="0" w:line="240" w:lineRule="auto"/>
        <w:ind w:left="720" w:hanging="720"/>
        <w:jc w:val="both"/>
        <w:rPr>
          <w:rFonts w:ascii="Arial" w:eastAsia="Times New Roman" w:hAnsi="Arial" w:cs="Arial"/>
          <w:color w:val="000000" w:themeColor="text1"/>
          <w:sz w:val="20"/>
          <w:szCs w:val="20"/>
        </w:rPr>
      </w:pPr>
      <w:r w:rsidRPr="00ED1038">
        <w:rPr>
          <w:rFonts w:ascii="Arial" w:eastAsia="Times New Roman" w:hAnsi="Arial" w:cs="Arial"/>
          <w:color w:val="000000" w:themeColor="text1"/>
          <w:sz w:val="20"/>
          <w:szCs w:val="20"/>
        </w:rPr>
        <w:t>5</w:t>
      </w:r>
      <w:r w:rsidR="00F6227F" w:rsidRPr="00ED1038">
        <w:rPr>
          <w:rFonts w:ascii="Arial" w:eastAsia="Times New Roman" w:hAnsi="Arial" w:cs="Arial"/>
          <w:color w:val="000000" w:themeColor="text1"/>
          <w:sz w:val="20"/>
          <w:szCs w:val="20"/>
        </w:rPr>
        <w:t>.3</w:t>
      </w:r>
      <w:r w:rsidR="00531FC8" w:rsidRPr="00ED1038">
        <w:rPr>
          <w:rFonts w:ascii="Arial" w:eastAsia="Times New Roman" w:hAnsi="Arial" w:cs="Arial"/>
          <w:color w:val="000000" w:themeColor="text1"/>
          <w:sz w:val="20"/>
          <w:szCs w:val="20"/>
        </w:rPr>
        <w:tab/>
        <w:t xml:space="preserve">The Provisional </w:t>
      </w:r>
      <w:r w:rsidR="00F6227F" w:rsidRPr="00ED1038">
        <w:rPr>
          <w:rFonts w:ascii="Arial" w:eastAsia="Times New Roman" w:hAnsi="Arial" w:cs="Arial"/>
          <w:color w:val="000000" w:themeColor="text1"/>
          <w:sz w:val="20"/>
          <w:szCs w:val="20"/>
        </w:rPr>
        <w:t xml:space="preserve">Housing (HRA) </w:t>
      </w:r>
      <w:r w:rsidR="00531FC8" w:rsidRPr="00ED1038">
        <w:rPr>
          <w:rFonts w:ascii="Arial" w:eastAsia="Times New Roman" w:hAnsi="Arial" w:cs="Arial"/>
          <w:color w:val="000000" w:themeColor="text1"/>
          <w:sz w:val="20"/>
          <w:szCs w:val="20"/>
        </w:rPr>
        <w:t>Revenue Budget for 20</w:t>
      </w:r>
      <w:r w:rsidR="00F6227F" w:rsidRPr="00ED1038">
        <w:rPr>
          <w:rFonts w:ascii="Arial" w:eastAsia="Times New Roman" w:hAnsi="Arial" w:cs="Arial"/>
          <w:color w:val="000000" w:themeColor="text1"/>
          <w:sz w:val="20"/>
          <w:szCs w:val="20"/>
        </w:rPr>
        <w:t>2</w:t>
      </w:r>
      <w:r w:rsidR="00DC2FFB" w:rsidRPr="00ED1038">
        <w:rPr>
          <w:rFonts w:ascii="Arial" w:eastAsia="Times New Roman" w:hAnsi="Arial" w:cs="Arial"/>
          <w:color w:val="000000" w:themeColor="text1"/>
          <w:sz w:val="20"/>
          <w:szCs w:val="20"/>
        </w:rPr>
        <w:t>2</w:t>
      </w:r>
      <w:r w:rsidR="00266609" w:rsidRPr="00ED1038">
        <w:rPr>
          <w:rFonts w:ascii="Arial" w:eastAsia="Times New Roman" w:hAnsi="Arial" w:cs="Arial"/>
          <w:color w:val="000000" w:themeColor="text1"/>
          <w:sz w:val="20"/>
          <w:szCs w:val="20"/>
        </w:rPr>
        <w:t>/</w:t>
      </w:r>
      <w:r w:rsidR="00D66674" w:rsidRPr="00ED1038">
        <w:rPr>
          <w:rFonts w:ascii="Arial" w:eastAsia="Times New Roman" w:hAnsi="Arial" w:cs="Arial"/>
          <w:color w:val="000000" w:themeColor="text1"/>
          <w:sz w:val="20"/>
          <w:szCs w:val="20"/>
        </w:rPr>
        <w:t>2</w:t>
      </w:r>
      <w:r w:rsidR="00DC2FFB" w:rsidRPr="00ED1038">
        <w:rPr>
          <w:rFonts w:ascii="Arial" w:eastAsia="Times New Roman" w:hAnsi="Arial" w:cs="Arial"/>
          <w:color w:val="000000" w:themeColor="text1"/>
          <w:sz w:val="20"/>
          <w:szCs w:val="20"/>
        </w:rPr>
        <w:t>3</w:t>
      </w:r>
      <w:r w:rsidR="0087688E" w:rsidRPr="00ED1038">
        <w:rPr>
          <w:rFonts w:ascii="Arial" w:eastAsia="Times New Roman" w:hAnsi="Arial" w:cs="Arial"/>
          <w:color w:val="000000" w:themeColor="text1"/>
          <w:sz w:val="20"/>
          <w:szCs w:val="20"/>
        </w:rPr>
        <w:t xml:space="preserve"> </w:t>
      </w:r>
      <w:r w:rsidR="00531FC8" w:rsidRPr="00ED1038">
        <w:rPr>
          <w:rFonts w:ascii="Arial" w:eastAsia="Times New Roman" w:hAnsi="Arial" w:cs="Arial"/>
          <w:color w:val="000000" w:themeColor="text1"/>
          <w:sz w:val="20"/>
          <w:szCs w:val="20"/>
        </w:rPr>
        <w:t xml:space="preserve">includes an allowance of </w:t>
      </w:r>
      <w:r w:rsidR="00FC43A5" w:rsidRPr="00ED1038">
        <w:rPr>
          <w:rFonts w:ascii="Arial" w:eastAsia="Times New Roman" w:hAnsi="Arial" w:cs="Arial"/>
          <w:color w:val="000000" w:themeColor="text1"/>
          <w:sz w:val="20"/>
          <w:szCs w:val="20"/>
        </w:rPr>
        <w:t>2.00</w:t>
      </w:r>
      <w:r w:rsidR="00531FC8" w:rsidRPr="00ED1038">
        <w:rPr>
          <w:rFonts w:ascii="Arial" w:eastAsia="Times New Roman" w:hAnsi="Arial" w:cs="Arial"/>
          <w:color w:val="000000" w:themeColor="text1"/>
          <w:sz w:val="20"/>
          <w:szCs w:val="20"/>
        </w:rPr>
        <w:t>% for a</w:t>
      </w:r>
      <w:r w:rsidR="00BD4DFA" w:rsidRPr="00ED1038">
        <w:rPr>
          <w:rFonts w:ascii="Arial" w:eastAsia="Times New Roman" w:hAnsi="Arial" w:cs="Arial"/>
          <w:color w:val="000000" w:themeColor="text1"/>
          <w:sz w:val="20"/>
          <w:szCs w:val="20"/>
        </w:rPr>
        <w:t>n assumed</w:t>
      </w:r>
      <w:r w:rsidR="00531FC8" w:rsidRPr="00ED1038">
        <w:rPr>
          <w:rFonts w:ascii="Arial" w:eastAsia="Times New Roman" w:hAnsi="Arial" w:cs="Arial"/>
          <w:color w:val="000000" w:themeColor="text1"/>
          <w:sz w:val="20"/>
          <w:szCs w:val="20"/>
        </w:rPr>
        <w:t xml:space="preserve"> pay award</w:t>
      </w:r>
      <w:r w:rsidR="00F6227F" w:rsidRPr="00ED1038">
        <w:rPr>
          <w:rFonts w:ascii="Arial" w:eastAsia="Times New Roman" w:hAnsi="Arial" w:cs="Arial"/>
          <w:color w:val="000000" w:themeColor="text1"/>
          <w:sz w:val="20"/>
          <w:szCs w:val="20"/>
        </w:rPr>
        <w:t>.</w:t>
      </w:r>
      <w:r w:rsidR="00531FC8" w:rsidRPr="00ED1038">
        <w:rPr>
          <w:rFonts w:ascii="Arial" w:eastAsia="Times New Roman" w:hAnsi="Arial" w:cs="Arial"/>
          <w:color w:val="000000" w:themeColor="text1"/>
          <w:sz w:val="20"/>
          <w:szCs w:val="20"/>
        </w:rPr>
        <w:t xml:space="preserve">  </w:t>
      </w:r>
      <w:r w:rsidR="006B7B32" w:rsidRPr="00ED1038">
        <w:rPr>
          <w:rFonts w:ascii="Arial" w:eastAsia="Times New Roman" w:hAnsi="Arial" w:cs="Arial"/>
          <w:color w:val="000000" w:themeColor="text1"/>
          <w:sz w:val="20"/>
          <w:szCs w:val="20"/>
        </w:rPr>
        <w:t>I</w:t>
      </w:r>
      <w:r w:rsidR="00773F9D" w:rsidRPr="00ED1038">
        <w:rPr>
          <w:rFonts w:ascii="Arial" w:eastAsia="Times New Roman" w:hAnsi="Arial" w:cs="Arial"/>
          <w:sz w:val="20"/>
          <w:szCs w:val="20"/>
        </w:rPr>
        <w:t xml:space="preserve">f there is any change in this assumption for 2022/23 then funding would need to be identified within existing resources to fund this additional cost. </w:t>
      </w:r>
      <w:r w:rsidR="00531FC8" w:rsidRPr="00ED1038">
        <w:rPr>
          <w:rFonts w:ascii="Arial" w:eastAsia="Times New Roman" w:hAnsi="Arial" w:cs="Arial"/>
          <w:color w:val="000000" w:themeColor="text1"/>
          <w:sz w:val="20"/>
          <w:szCs w:val="20"/>
        </w:rPr>
        <w:t>Allowance has also been made for other specific and general price inflation, where appropriate.</w:t>
      </w:r>
      <w:r w:rsidR="0087688E" w:rsidRPr="00ED1038">
        <w:rPr>
          <w:rFonts w:ascii="Arial" w:eastAsia="Times New Roman" w:hAnsi="Arial" w:cs="Arial"/>
          <w:color w:val="000000" w:themeColor="text1"/>
          <w:sz w:val="20"/>
          <w:szCs w:val="20"/>
        </w:rPr>
        <w:t xml:space="preserve">  </w:t>
      </w:r>
      <w:r w:rsidR="001D48BC" w:rsidRPr="00ED1038">
        <w:rPr>
          <w:rFonts w:ascii="Arial" w:eastAsia="Times New Roman" w:hAnsi="Arial" w:cs="Arial"/>
          <w:color w:val="000000" w:themeColor="text1"/>
          <w:sz w:val="20"/>
          <w:szCs w:val="20"/>
        </w:rPr>
        <w:t xml:space="preserve">The </w:t>
      </w:r>
      <w:r w:rsidR="005C0D12" w:rsidRPr="00ED1038">
        <w:rPr>
          <w:rFonts w:ascii="Arial" w:eastAsia="Times New Roman" w:hAnsi="Arial" w:cs="Arial"/>
          <w:color w:val="000000" w:themeColor="text1"/>
          <w:sz w:val="20"/>
          <w:szCs w:val="20"/>
        </w:rPr>
        <w:t xml:space="preserve">key overall variances </w:t>
      </w:r>
      <w:r w:rsidR="001D48BC" w:rsidRPr="00ED1038">
        <w:rPr>
          <w:rFonts w:ascii="Arial" w:eastAsia="Times New Roman" w:hAnsi="Arial" w:cs="Arial"/>
          <w:color w:val="000000" w:themeColor="text1"/>
          <w:sz w:val="20"/>
          <w:szCs w:val="20"/>
        </w:rPr>
        <w:t>include the following:</w:t>
      </w:r>
    </w:p>
    <w:p w14:paraId="150FD058" w14:textId="77777777" w:rsidR="001D48BC" w:rsidRPr="00ED1038" w:rsidRDefault="001D48BC" w:rsidP="00C27DC7">
      <w:pPr>
        <w:tabs>
          <w:tab w:val="left" w:pos="1134"/>
          <w:tab w:val="left" w:pos="2304"/>
          <w:tab w:val="left" w:pos="2880"/>
          <w:tab w:val="left" w:pos="8647"/>
        </w:tabs>
        <w:spacing w:after="0" w:line="240" w:lineRule="auto"/>
        <w:ind w:left="567" w:hanging="567"/>
        <w:jc w:val="both"/>
        <w:rPr>
          <w:rFonts w:ascii="Arial" w:eastAsia="Times New Roman" w:hAnsi="Arial" w:cs="Arial"/>
          <w:sz w:val="20"/>
          <w:szCs w:val="20"/>
        </w:rPr>
      </w:pPr>
    </w:p>
    <w:p w14:paraId="250ED41C" w14:textId="1C249520" w:rsidR="002403F3" w:rsidRPr="00ED1038" w:rsidRDefault="002403F3" w:rsidP="00CE41E7">
      <w:pPr>
        <w:spacing w:after="0" w:line="240" w:lineRule="auto"/>
        <w:ind w:left="720"/>
        <w:jc w:val="both"/>
        <w:rPr>
          <w:rFonts w:ascii="Arial" w:eastAsia="Times New Roman" w:hAnsi="Arial" w:cs="Arial"/>
          <w:sz w:val="20"/>
          <w:szCs w:val="20"/>
          <w:u w:val="single"/>
        </w:rPr>
      </w:pPr>
      <w:r w:rsidRPr="00ED1038">
        <w:rPr>
          <w:rFonts w:ascii="Arial" w:eastAsia="Times New Roman" w:hAnsi="Arial" w:cs="Arial"/>
          <w:sz w:val="20"/>
          <w:szCs w:val="20"/>
          <w:u w:val="single"/>
        </w:rPr>
        <w:t>Staff Costs (Increase of £</w:t>
      </w:r>
      <w:r w:rsidR="003C3367">
        <w:rPr>
          <w:rFonts w:ascii="Arial" w:eastAsia="Times New Roman" w:hAnsi="Arial" w:cs="Arial"/>
          <w:sz w:val="20"/>
          <w:szCs w:val="20"/>
          <w:u w:val="single"/>
        </w:rPr>
        <w:t>19</w:t>
      </w:r>
      <w:r w:rsidRPr="00ED1038">
        <w:rPr>
          <w:rFonts w:ascii="Arial" w:eastAsia="Times New Roman" w:hAnsi="Arial" w:cs="Arial"/>
          <w:sz w:val="20"/>
          <w:szCs w:val="20"/>
          <w:u w:val="single"/>
        </w:rPr>
        <w:t>,000)</w:t>
      </w:r>
    </w:p>
    <w:p w14:paraId="11B19625" w14:textId="77777777" w:rsidR="00083992" w:rsidRPr="00ED1038" w:rsidRDefault="00083992" w:rsidP="00CE41E7">
      <w:pPr>
        <w:spacing w:after="0" w:line="240" w:lineRule="auto"/>
        <w:ind w:left="720"/>
        <w:jc w:val="both"/>
        <w:rPr>
          <w:rFonts w:ascii="Arial" w:eastAsia="Times New Roman" w:hAnsi="Arial" w:cs="Arial"/>
          <w:color w:val="000000" w:themeColor="text1"/>
          <w:sz w:val="20"/>
          <w:szCs w:val="20"/>
          <w:u w:val="single"/>
        </w:rPr>
      </w:pPr>
    </w:p>
    <w:p w14:paraId="25B162EE" w14:textId="5B7292F2" w:rsidR="008A056C" w:rsidRPr="00ED1038" w:rsidRDefault="00B3675C" w:rsidP="00B3675C">
      <w:pPr>
        <w:spacing w:after="0" w:line="240" w:lineRule="auto"/>
        <w:ind w:left="720"/>
        <w:jc w:val="both"/>
        <w:rPr>
          <w:rFonts w:ascii="Arial" w:eastAsia="Times New Roman" w:hAnsi="Arial" w:cs="Arial"/>
          <w:sz w:val="20"/>
          <w:szCs w:val="20"/>
          <w:lang w:eastAsia="en-GB"/>
        </w:rPr>
      </w:pPr>
      <w:r>
        <w:rPr>
          <w:rFonts w:ascii="Arial" w:eastAsia="Times New Roman" w:hAnsi="Arial" w:cs="Arial"/>
          <w:sz w:val="20"/>
          <w:szCs w:val="20"/>
          <w:shd w:val="clear" w:color="auto" w:fill="FFFFFF"/>
        </w:rPr>
        <w:t>Reflects</w:t>
      </w:r>
      <w:r w:rsidR="008A056C" w:rsidRPr="00ED1038">
        <w:rPr>
          <w:rFonts w:ascii="Arial" w:eastAsia="Times New Roman" w:hAnsi="Arial" w:cs="Arial"/>
          <w:sz w:val="20"/>
          <w:szCs w:val="20"/>
          <w:shd w:val="clear" w:color="auto" w:fill="FFFFFF"/>
        </w:rPr>
        <w:t xml:space="preserve"> assumed pay award and increments payable together with increases in employer’s national insurance contribution rates recently announced by the UK government</w:t>
      </w:r>
      <w:r>
        <w:rPr>
          <w:rFonts w:ascii="Arial" w:eastAsia="Times New Roman" w:hAnsi="Arial" w:cs="Arial"/>
          <w:sz w:val="20"/>
          <w:szCs w:val="20"/>
          <w:shd w:val="clear" w:color="auto" w:fill="FFFFFF"/>
        </w:rPr>
        <w:t xml:space="preserve"> partially offset by savings elsewhere in the budget</w:t>
      </w:r>
      <w:r w:rsidR="008A056C" w:rsidRPr="00ED1038">
        <w:rPr>
          <w:rFonts w:ascii="Arial" w:eastAsia="Times New Roman" w:hAnsi="Arial" w:cs="Arial"/>
          <w:sz w:val="20"/>
          <w:szCs w:val="20"/>
          <w:shd w:val="clear" w:color="auto" w:fill="FFFFFF"/>
        </w:rPr>
        <w:t>. </w:t>
      </w:r>
    </w:p>
    <w:p w14:paraId="2E652A7B" w14:textId="77777777" w:rsidR="007709C4" w:rsidRPr="00ED1038" w:rsidRDefault="007709C4" w:rsidP="00B3675C">
      <w:pPr>
        <w:tabs>
          <w:tab w:val="left" w:pos="1134"/>
          <w:tab w:val="left" w:pos="2304"/>
          <w:tab w:val="left" w:pos="2880"/>
          <w:tab w:val="left" w:pos="8647"/>
        </w:tabs>
        <w:spacing w:after="0" w:line="240" w:lineRule="auto"/>
        <w:ind w:left="720" w:hanging="567"/>
        <w:jc w:val="both"/>
        <w:rPr>
          <w:rFonts w:ascii="Arial" w:eastAsia="Times New Roman" w:hAnsi="Arial" w:cs="Arial"/>
          <w:color w:val="000000" w:themeColor="text1"/>
          <w:sz w:val="20"/>
          <w:szCs w:val="20"/>
          <w:u w:val="single"/>
        </w:rPr>
      </w:pPr>
    </w:p>
    <w:p w14:paraId="7A1B84C0" w14:textId="677E1BE0" w:rsidR="00645478" w:rsidRPr="00ED1038" w:rsidRDefault="00645478" w:rsidP="00CE41E7">
      <w:pPr>
        <w:spacing w:after="0" w:line="240" w:lineRule="auto"/>
        <w:ind w:left="720"/>
        <w:jc w:val="both"/>
        <w:rPr>
          <w:rFonts w:ascii="Arial" w:eastAsia="Times New Roman" w:hAnsi="Arial" w:cs="Arial"/>
          <w:color w:val="000000" w:themeColor="text1"/>
          <w:sz w:val="20"/>
          <w:szCs w:val="20"/>
          <w:u w:val="single"/>
        </w:rPr>
      </w:pPr>
      <w:r w:rsidRPr="00ED1038">
        <w:rPr>
          <w:rFonts w:ascii="Arial" w:eastAsia="Times New Roman" w:hAnsi="Arial" w:cs="Arial"/>
          <w:color w:val="000000" w:themeColor="text1"/>
          <w:sz w:val="20"/>
          <w:szCs w:val="20"/>
          <w:u w:val="single"/>
        </w:rPr>
        <w:t>Property Costs</w:t>
      </w:r>
      <w:r w:rsidR="00A56C65" w:rsidRPr="00ED1038">
        <w:rPr>
          <w:rFonts w:ascii="Arial" w:eastAsia="Times New Roman" w:hAnsi="Arial" w:cs="Arial"/>
          <w:color w:val="000000" w:themeColor="text1"/>
          <w:sz w:val="20"/>
          <w:szCs w:val="20"/>
          <w:u w:val="single"/>
        </w:rPr>
        <w:t xml:space="preserve"> (Increase of £</w:t>
      </w:r>
      <w:r w:rsidR="003C3367">
        <w:rPr>
          <w:rFonts w:ascii="Arial" w:eastAsia="Times New Roman" w:hAnsi="Arial" w:cs="Arial"/>
          <w:color w:val="000000" w:themeColor="text1"/>
          <w:sz w:val="20"/>
          <w:szCs w:val="20"/>
          <w:u w:val="single"/>
        </w:rPr>
        <w:t>524</w:t>
      </w:r>
      <w:r w:rsidR="00A56C65" w:rsidRPr="00ED1038">
        <w:rPr>
          <w:rFonts w:ascii="Arial" w:eastAsia="Times New Roman" w:hAnsi="Arial" w:cs="Arial"/>
          <w:color w:val="000000" w:themeColor="text1"/>
          <w:sz w:val="20"/>
          <w:szCs w:val="20"/>
          <w:u w:val="single"/>
        </w:rPr>
        <w:t>,000)</w:t>
      </w:r>
    </w:p>
    <w:p w14:paraId="1DE3A43C" w14:textId="77777777" w:rsidR="00997FBD" w:rsidRPr="00ED1038" w:rsidRDefault="00997FBD" w:rsidP="00CE41E7">
      <w:pPr>
        <w:spacing w:after="0" w:line="240" w:lineRule="auto"/>
        <w:ind w:left="720"/>
        <w:jc w:val="both"/>
        <w:rPr>
          <w:rFonts w:ascii="Arial" w:eastAsia="Times New Roman" w:hAnsi="Arial" w:cs="Arial"/>
          <w:color w:val="000000" w:themeColor="text1"/>
          <w:sz w:val="20"/>
          <w:szCs w:val="20"/>
          <w:u w:val="single"/>
        </w:rPr>
      </w:pPr>
    </w:p>
    <w:p w14:paraId="0CC0B250" w14:textId="5FE89440" w:rsidR="00C37995" w:rsidRPr="00ED1038" w:rsidRDefault="00F25176" w:rsidP="00CE41E7">
      <w:pPr>
        <w:spacing w:after="0" w:line="240" w:lineRule="auto"/>
        <w:ind w:left="720"/>
        <w:jc w:val="both"/>
        <w:rPr>
          <w:rFonts w:ascii="Arial" w:eastAsia="Times New Roman" w:hAnsi="Arial" w:cs="Arial"/>
          <w:color w:val="000000" w:themeColor="text1"/>
          <w:sz w:val="20"/>
          <w:szCs w:val="20"/>
        </w:rPr>
      </w:pPr>
      <w:r w:rsidRPr="00ED1038">
        <w:rPr>
          <w:rFonts w:ascii="Arial" w:eastAsia="Times New Roman" w:hAnsi="Arial" w:cs="Arial"/>
          <w:color w:val="000000" w:themeColor="text1"/>
          <w:sz w:val="20"/>
          <w:szCs w:val="20"/>
        </w:rPr>
        <w:t xml:space="preserve">Mainly reflects the increased </w:t>
      </w:r>
      <w:r w:rsidR="00266609" w:rsidRPr="00ED1038">
        <w:rPr>
          <w:rFonts w:ascii="Arial" w:eastAsia="Times New Roman" w:hAnsi="Arial" w:cs="Arial"/>
          <w:color w:val="000000" w:themeColor="text1"/>
          <w:sz w:val="20"/>
          <w:szCs w:val="20"/>
        </w:rPr>
        <w:t xml:space="preserve">inflationary </w:t>
      </w:r>
      <w:r w:rsidRPr="00ED1038">
        <w:rPr>
          <w:rFonts w:ascii="Arial" w:eastAsia="Times New Roman" w:hAnsi="Arial" w:cs="Arial"/>
          <w:color w:val="000000" w:themeColor="text1"/>
          <w:sz w:val="20"/>
          <w:szCs w:val="20"/>
        </w:rPr>
        <w:t>cost in providing the extensive responsive repairs and relets service</w:t>
      </w:r>
      <w:r w:rsidR="009B2C70" w:rsidRPr="00ED1038">
        <w:rPr>
          <w:rFonts w:ascii="Arial" w:eastAsia="Times New Roman" w:hAnsi="Arial" w:cs="Arial"/>
          <w:color w:val="000000" w:themeColor="text1"/>
          <w:sz w:val="20"/>
          <w:szCs w:val="20"/>
        </w:rPr>
        <w:t xml:space="preserve"> and open space maintenance</w:t>
      </w:r>
      <w:r w:rsidR="00266609" w:rsidRPr="00ED1038">
        <w:rPr>
          <w:rFonts w:ascii="Arial" w:eastAsia="Times New Roman" w:hAnsi="Arial" w:cs="Arial"/>
          <w:color w:val="000000" w:themeColor="text1"/>
          <w:sz w:val="20"/>
          <w:szCs w:val="20"/>
        </w:rPr>
        <w:t>, these costs relate partly to labour and can therefore fluctuate in line with</w:t>
      </w:r>
      <w:r w:rsidR="00BD4DFA" w:rsidRPr="00ED1038">
        <w:rPr>
          <w:rFonts w:ascii="Arial" w:eastAsia="Times New Roman" w:hAnsi="Arial" w:cs="Arial"/>
          <w:color w:val="000000" w:themeColor="text1"/>
          <w:sz w:val="20"/>
          <w:szCs w:val="20"/>
        </w:rPr>
        <w:t xml:space="preserve"> assumed</w:t>
      </w:r>
      <w:r w:rsidR="00266609" w:rsidRPr="00ED1038">
        <w:rPr>
          <w:rFonts w:ascii="Arial" w:eastAsia="Times New Roman" w:hAnsi="Arial" w:cs="Arial"/>
          <w:color w:val="000000" w:themeColor="text1"/>
          <w:sz w:val="20"/>
          <w:szCs w:val="20"/>
        </w:rPr>
        <w:t xml:space="preserve"> pay </w:t>
      </w:r>
      <w:r w:rsidR="007663D0" w:rsidRPr="00ED1038">
        <w:rPr>
          <w:rFonts w:ascii="Arial" w:eastAsia="Times New Roman" w:hAnsi="Arial" w:cs="Arial"/>
          <w:color w:val="000000" w:themeColor="text1"/>
          <w:sz w:val="20"/>
          <w:szCs w:val="20"/>
        </w:rPr>
        <w:t>increases and other inflationary pressures</w:t>
      </w:r>
      <w:r w:rsidRPr="00ED1038">
        <w:rPr>
          <w:rFonts w:ascii="Arial" w:eastAsia="Times New Roman" w:hAnsi="Arial" w:cs="Arial"/>
          <w:color w:val="000000" w:themeColor="text1"/>
          <w:sz w:val="20"/>
          <w:szCs w:val="20"/>
        </w:rPr>
        <w:t>.</w:t>
      </w:r>
      <w:r w:rsidR="009B2C70" w:rsidRPr="00ED1038">
        <w:rPr>
          <w:rFonts w:ascii="Arial" w:eastAsia="Times New Roman" w:hAnsi="Arial" w:cs="Arial"/>
          <w:color w:val="000000" w:themeColor="text1"/>
          <w:sz w:val="20"/>
          <w:szCs w:val="20"/>
        </w:rPr>
        <w:t xml:space="preserve"> </w:t>
      </w:r>
      <w:r w:rsidR="00D93C77" w:rsidRPr="00ED1038">
        <w:rPr>
          <w:rFonts w:ascii="Arial" w:eastAsia="Times New Roman" w:hAnsi="Arial" w:cs="Arial"/>
          <w:color w:val="000000" w:themeColor="text1"/>
          <w:sz w:val="20"/>
          <w:szCs w:val="20"/>
        </w:rPr>
        <w:t>This also</w:t>
      </w:r>
      <w:r w:rsidR="00912A5A" w:rsidRPr="00ED1038">
        <w:rPr>
          <w:rFonts w:ascii="Arial" w:eastAsia="Times New Roman" w:hAnsi="Arial" w:cs="Arial"/>
          <w:color w:val="000000" w:themeColor="text1"/>
          <w:sz w:val="20"/>
          <w:szCs w:val="20"/>
        </w:rPr>
        <w:t xml:space="preserve"> reflects </w:t>
      </w:r>
      <w:r w:rsidR="001657EE" w:rsidRPr="00ED1038">
        <w:rPr>
          <w:rFonts w:ascii="Arial" w:eastAsia="Times New Roman" w:hAnsi="Arial" w:cs="Arial"/>
          <w:color w:val="000000" w:themeColor="text1"/>
          <w:sz w:val="20"/>
          <w:szCs w:val="20"/>
        </w:rPr>
        <w:t>an increase in void properties which has been adversely affected by</w:t>
      </w:r>
      <w:r w:rsidR="00D93C77" w:rsidRPr="00ED1038">
        <w:rPr>
          <w:rFonts w:ascii="Arial" w:eastAsia="Times New Roman" w:hAnsi="Arial" w:cs="Arial"/>
          <w:color w:val="000000" w:themeColor="text1"/>
          <w:sz w:val="20"/>
          <w:szCs w:val="20"/>
        </w:rPr>
        <w:t xml:space="preserve"> Covid-19 and current market pressures </w:t>
      </w:r>
      <w:r w:rsidR="001657EE" w:rsidRPr="00ED1038">
        <w:rPr>
          <w:rFonts w:ascii="Arial" w:eastAsia="Times New Roman" w:hAnsi="Arial" w:cs="Arial"/>
          <w:color w:val="000000" w:themeColor="text1"/>
          <w:sz w:val="20"/>
          <w:szCs w:val="20"/>
        </w:rPr>
        <w:t>which have led to longer void periods</w:t>
      </w:r>
      <w:r w:rsidR="003C3367">
        <w:rPr>
          <w:rFonts w:ascii="Arial" w:eastAsia="Times New Roman" w:hAnsi="Arial" w:cs="Arial"/>
          <w:color w:val="000000" w:themeColor="text1"/>
          <w:sz w:val="20"/>
          <w:szCs w:val="20"/>
        </w:rPr>
        <w:t xml:space="preserve"> and additional provision to meet rising prices in energy costs</w:t>
      </w:r>
      <w:r w:rsidR="001657EE" w:rsidRPr="00ED1038">
        <w:rPr>
          <w:rFonts w:ascii="Arial" w:eastAsia="Times New Roman" w:hAnsi="Arial" w:cs="Arial"/>
          <w:color w:val="000000" w:themeColor="text1"/>
          <w:sz w:val="20"/>
          <w:szCs w:val="20"/>
        </w:rPr>
        <w:t>.</w:t>
      </w:r>
      <w:r w:rsidR="009B2C70" w:rsidRPr="00ED1038">
        <w:rPr>
          <w:rFonts w:ascii="Arial" w:eastAsia="Times New Roman" w:hAnsi="Arial" w:cs="Arial"/>
          <w:color w:val="000000" w:themeColor="text1"/>
          <w:sz w:val="20"/>
          <w:szCs w:val="20"/>
        </w:rPr>
        <w:t xml:space="preserve"> </w:t>
      </w:r>
    </w:p>
    <w:p w14:paraId="57856494" w14:textId="77777777" w:rsidR="006E45C8" w:rsidRPr="00ED1038" w:rsidRDefault="006E45C8" w:rsidP="00CE41E7">
      <w:pPr>
        <w:tabs>
          <w:tab w:val="left" w:pos="1134"/>
          <w:tab w:val="left" w:pos="2304"/>
          <w:tab w:val="left" w:pos="2880"/>
          <w:tab w:val="left" w:pos="8647"/>
        </w:tabs>
        <w:spacing w:after="0" w:line="240" w:lineRule="auto"/>
        <w:ind w:left="720"/>
        <w:jc w:val="both"/>
        <w:rPr>
          <w:rFonts w:ascii="Arial" w:eastAsia="Times New Roman" w:hAnsi="Arial" w:cs="Arial"/>
          <w:color w:val="000000" w:themeColor="text1"/>
          <w:sz w:val="20"/>
          <w:szCs w:val="20"/>
        </w:rPr>
      </w:pPr>
    </w:p>
    <w:p w14:paraId="23E81A3D" w14:textId="34252A00" w:rsidR="00AD76B8" w:rsidRPr="00ED1038" w:rsidRDefault="00ED4D1A" w:rsidP="00CE41E7">
      <w:pPr>
        <w:spacing w:after="0" w:line="240" w:lineRule="auto"/>
        <w:ind w:left="720"/>
        <w:jc w:val="both"/>
        <w:rPr>
          <w:rFonts w:ascii="Arial" w:eastAsia="Times New Roman" w:hAnsi="Arial" w:cs="Arial"/>
          <w:color w:val="000000" w:themeColor="text1"/>
          <w:sz w:val="20"/>
          <w:szCs w:val="20"/>
          <w:u w:val="single"/>
        </w:rPr>
      </w:pPr>
      <w:r w:rsidRPr="00ED1038">
        <w:rPr>
          <w:rFonts w:ascii="Arial" w:eastAsia="Times New Roman" w:hAnsi="Arial" w:cs="Arial"/>
          <w:color w:val="000000" w:themeColor="text1"/>
          <w:sz w:val="20"/>
          <w:szCs w:val="20"/>
          <w:u w:val="single"/>
        </w:rPr>
        <w:t>Supplies &amp; Services (In</w:t>
      </w:r>
      <w:r w:rsidR="006E45C8" w:rsidRPr="00ED1038">
        <w:rPr>
          <w:rFonts w:ascii="Arial" w:eastAsia="Times New Roman" w:hAnsi="Arial" w:cs="Arial"/>
          <w:color w:val="000000" w:themeColor="text1"/>
          <w:sz w:val="20"/>
          <w:szCs w:val="20"/>
          <w:u w:val="single"/>
        </w:rPr>
        <w:t>crease of £</w:t>
      </w:r>
      <w:r w:rsidR="005911A7" w:rsidRPr="00ED1038">
        <w:rPr>
          <w:rFonts w:ascii="Arial" w:eastAsia="Times New Roman" w:hAnsi="Arial" w:cs="Arial"/>
          <w:color w:val="000000" w:themeColor="text1"/>
          <w:sz w:val="20"/>
          <w:szCs w:val="20"/>
          <w:u w:val="single"/>
        </w:rPr>
        <w:t>208</w:t>
      </w:r>
      <w:r w:rsidR="006E45C8" w:rsidRPr="00ED1038">
        <w:rPr>
          <w:rFonts w:ascii="Arial" w:eastAsia="Times New Roman" w:hAnsi="Arial" w:cs="Arial"/>
          <w:color w:val="000000" w:themeColor="text1"/>
          <w:sz w:val="20"/>
          <w:szCs w:val="20"/>
          <w:u w:val="single"/>
        </w:rPr>
        <w:t>,000)</w:t>
      </w:r>
    </w:p>
    <w:p w14:paraId="11305C06" w14:textId="77777777" w:rsidR="00997FBD" w:rsidRPr="00ED1038" w:rsidRDefault="00997FBD" w:rsidP="00CE41E7">
      <w:pPr>
        <w:spacing w:after="0" w:line="240" w:lineRule="auto"/>
        <w:ind w:left="720"/>
        <w:jc w:val="both"/>
        <w:rPr>
          <w:rFonts w:ascii="Arial" w:eastAsia="Times New Roman" w:hAnsi="Arial" w:cs="Arial"/>
          <w:color w:val="000000" w:themeColor="text1"/>
          <w:sz w:val="20"/>
          <w:szCs w:val="20"/>
          <w:u w:val="single"/>
        </w:rPr>
      </w:pPr>
    </w:p>
    <w:p w14:paraId="7931F292" w14:textId="0E82D5AD" w:rsidR="007F2BFE" w:rsidRPr="00ED1038" w:rsidRDefault="00ED4D1A" w:rsidP="00CE41E7">
      <w:pPr>
        <w:spacing w:after="0" w:line="240" w:lineRule="auto"/>
        <w:ind w:left="720"/>
        <w:jc w:val="both"/>
        <w:rPr>
          <w:rFonts w:ascii="Arial" w:eastAsia="Times New Roman" w:hAnsi="Arial" w:cs="Arial"/>
          <w:color w:val="000000" w:themeColor="text1"/>
          <w:sz w:val="20"/>
          <w:szCs w:val="20"/>
          <w:u w:val="single"/>
        </w:rPr>
      </w:pPr>
      <w:r w:rsidRPr="00ED1038">
        <w:rPr>
          <w:rFonts w:ascii="Arial" w:eastAsia="Times New Roman" w:hAnsi="Arial" w:cs="Arial"/>
          <w:color w:val="000000" w:themeColor="text1"/>
          <w:sz w:val="20"/>
          <w:szCs w:val="20"/>
        </w:rPr>
        <w:t>M</w:t>
      </w:r>
      <w:r w:rsidR="00936CF5" w:rsidRPr="00ED1038">
        <w:rPr>
          <w:rFonts w:ascii="Arial" w:eastAsia="Times New Roman" w:hAnsi="Arial" w:cs="Arial"/>
          <w:color w:val="000000" w:themeColor="text1"/>
          <w:sz w:val="20"/>
          <w:szCs w:val="20"/>
        </w:rPr>
        <w:t>ainly</w:t>
      </w:r>
      <w:r w:rsidR="00912A5A" w:rsidRPr="00ED1038">
        <w:rPr>
          <w:rFonts w:ascii="Arial" w:eastAsia="Times New Roman" w:hAnsi="Arial" w:cs="Arial"/>
          <w:color w:val="000000" w:themeColor="text1"/>
          <w:sz w:val="20"/>
          <w:szCs w:val="20"/>
        </w:rPr>
        <w:t xml:space="preserve"> reflects the purchase</w:t>
      </w:r>
      <w:r w:rsidR="005911A7" w:rsidRPr="00ED1038">
        <w:rPr>
          <w:rFonts w:ascii="Arial" w:eastAsia="Times New Roman" w:hAnsi="Arial" w:cs="Arial"/>
          <w:color w:val="000000" w:themeColor="text1"/>
          <w:sz w:val="20"/>
          <w:szCs w:val="20"/>
        </w:rPr>
        <w:t xml:space="preserve"> of</w:t>
      </w:r>
      <w:r w:rsidR="00AD76B8" w:rsidRPr="00ED1038">
        <w:rPr>
          <w:rFonts w:ascii="Arial" w:eastAsia="Times New Roman" w:hAnsi="Arial" w:cs="Arial"/>
          <w:color w:val="000000" w:themeColor="text1"/>
          <w:sz w:val="20"/>
          <w:szCs w:val="20"/>
        </w:rPr>
        <w:t xml:space="preserve"> IT software within Rent Recovery – </w:t>
      </w:r>
      <w:r w:rsidR="00AD76B8" w:rsidRPr="00ED1038">
        <w:rPr>
          <w:rFonts w:ascii="Arial" w:hAnsi="Arial" w:cs="Arial"/>
          <w:sz w:val="20"/>
          <w:szCs w:val="20"/>
        </w:rPr>
        <w:t>Rentsense.</w:t>
      </w:r>
      <w:r w:rsidR="005911A7" w:rsidRPr="00ED1038">
        <w:rPr>
          <w:rFonts w:ascii="Arial" w:eastAsia="Times New Roman" w:hAnsi="Arial" w:cs="Arial"/>
          <w:color w:val="000000" w:themeColor="text1"/>
          <w:sz w:val="20"/>
          <w:szCs w:val="20"/>
        </w:rPr>
        <w:t xml:space="preserve"> Also reflects the</w:t>
      </w:r>
      <w:r w:rsidR="00346113" w:rsidRPr="00ED1038">
        <w:rPr>
          <w:rFonts w:ascii="Arial" w:eastAsia="Times New Roman" w:hAnsi="Arial" w:cs="Arial"/>
          <w:color w:val="000000" w:themeColor="text1"/>
          <w:sz w:val="20"/>
          <w:szCs w:val="20"/>
        </w:rPr>
        <w:t xml:space="preserve"> increased</w:t>
      </w:r>
      <w:r w:rsidRPr="00ED1038">
        <w:rPr>
          <w:rFonts w:ascii="Arial" w:eastAsia="Times New Roman" w:hAnsi="Arial" w:cs="Arial"/>
          <w:color w:val="000000" w:themeColor="text1"/>
          <w:sz w:val="20"/>
          <w:szCs w:val="20"/>
        </w:rPr>
        <w:t xml:space="preserve"> </w:t>
      </w:r>
      <w:r w:rsidR="00BA06A8" w:rsidRPr="00ED1038">
        <w:rPr>
          <w:rFonts w:ascii="Arial" w:eastAsia="Times New Roman" w:hAnsi="Arial" w:cs="Arial"/>
          <w:color w:val="000000" w:themeColor="text1"/>
          <w:sz w:val="20"/>
          <w:szCs w:val="20"/>
        </w:rPr>
        <w:t>internal recharges</w:t>
      </w:r>
      <w:r w:rsidR="00F36C3A" w:rsidRPr="00ED1038">
        <w:rPr>
          <w:rFonts w:ascii="Arial" w:eastAsia="Times New Roman" w:hAnsi="Arial" w:cs="Arial"/>
          <w:color w:val="000000" w:themeColor="text1"/>
          <w:sz w:val="20"/>
          <w:szCs w:val="20"/>
        </w:rPr>
        <w:t xml:space="preserve"> for the </w:t>
      </w:r>
      <w:r w:rsidRPr="00ED1038">
        <w:rPr>
          <w:rFonts w:ascii="Arial" w:eastAsia="Times New Roman" w:hAnsi="Arial" w:cs="Arial"/>
          <w:color w:val="000000" w:themeColor="text1"/>
          <w:sz w:val="20"/>
          <w:szCs w:val="20"/>
        </w:rPr>
        <w:t xml:space="preserve">Housing </w:t>
      </w:r>
      <w:r w:rsidR="006E2CF3" w:rsidRPr="00ED1038">
        <w:rPr>
          <w:rFonts w:ascii="Arial" w:eastAsia="Times New Roman" w:hAnsi="Arial" w:cs="Arial"/>
          <w:color w:val="000000" w:themeColor="text1"/>
          <w:sz w:val="20"/>
          <w:szCs w:val="20"/>
        </w:rPr>
        <w:t>H</w:t>
      </w:r>
      <w:r w:rsidR="00F36C3A" w:rsidRPr="00ED1038">
        <w:rPr>
          <w:rFonts w:ascii="Arial" w:eastAsia="Times New Roman" w:hAnsi="Arial" w:cs="Arial"/>
          <w:color w:val="000000" w:themeColor="text1"/>
          <w:sz w:val="20"/>
          <w:szCs w:val="20"/>
        </w:rPr>
        <w:t>RA share of the cost of various services including Anti-Social Behaviour Team</w:t>
      </w:r>
      <w:r w:rsidRPr="00ED1038">
        <w:rPr>
          <w:rFonts w:ascii="Arial" w:eastAsia="Times New Roman" w:hAnsi="Arial" w:cs="Arial"/>
          <w:color w:val="000000" w:themeColor="text1"/>
          <w:sz w:val="20"/>
          <w:szCs w:val="20"/>
        </w:rPr>
        <w:t xml:space="preserve"> a</w:t>
      </w:r>
      <w:r w:rsidR="00F36C3A" w:rsidRPr="00ED1038">
        <w:rPr>
          <w:rFonts w:ascii="Arial" w:eastAsia="Times New Roman" w:hAnsi="Arial" w:cs="Arial"/>
          <w:color w:val="000000" w:themeColor="text1"/>
          <w:sz w:val="20"/>
          <w:szCs w:val="20"/>
        </w:rPr>
        <w:t>nd Safety &amp; Alarm Response Centre</w:t>
      </w:r>
      <w:r w:rsidRPr="00ED1038">
        <w:rPr>
          <w:rFonts w:ascii="Arial" w:eastAsia="Times New Roman" w:hAnsi="Arial" w:cs="Arial"/>
          <w:color w:val="000000" w:themeColor="text1"/>
          <w:sz w:val="20"/>
          <w:szCs w:val="20"/>
        </w:rPr>
        <w:t xml:space="preserve"> have increased reflecting the increased inflationary cost of providing these services</w:t>
      </w:r>
      <w:r w:rsidR="00F36C3A" w:rsidRPr="00ED1038">
        <w:rPr>
          <w:rFonts w:ascii="Arial" w:eastAsia="Times New Roman" w:hAnsi="Arial" w:cs="Arial"/>
          <w:color w:val="000000" w:themeColor="text1"/>
          <w:sz w:val="20"/>
          <w:szCs w:val="20"/>
        </w:rPr>
        <w:t>.</w:t>
      </w:r>
    </w:p>
    <w:p w14:paraId="0C33CB78" w14:textId="77777777" w:rsidR="00765F92" w:rsidRPr="00ED1038" w:rsidRDefault="00765F92" w:rsidP="00CE41E7">
      <w:pPr>
        <w:tabs>
          <w:tab w:val="left" w:pos="1134"/>
          <w:tab w:val="left" w:pos="2304"/>
          <w:tab w:val="left" w:pos="2880"/>
          <w:tab w:val="left" w:pos="8647"/>
        </w:tabs>
        <w:spacing w:after="0" w:line="240" w:lineRule="auto"/>
        <w:ind w:left="720"/>
        <w:jc w:val="both"/>
        <w:rPr>
          <w:rFonts w:ascii="Arial" w:eastAsia="Times New Roman" w:hAnsi="Arial" w:cs="Arial"/>
          <w:color w:val="000000" w:themeColor="text1"/>
          <w:sz w:val="20"/>
          <w:szCs w:val="20"/>
        </w:rPr>
      </w:pPr>
    </w:p>
    <w:p w14:paraId="3A117AF5" w14:textId="4C4C110F" w:rsidR="0087688E" w:rsidRPr="00ED1038" w:rsidRDefault="0087688E" w:rsidP="00CE41E7">
      <w:pPr>
        <w:spacing w:after="0" w:line="240" w:lineRule="auto"/>
        <w:ind w:left="720"/>
        <w:jc w:val="both"/>
        <w:rPr>
          <w:rFonts w:ascii="Arial" w:eastAsia="Times New Roman" w:hAnsi="Arial" w:cs="Arial"/>
          <w:color w:val="000000" w:themeColor="text1"/>
          <w:sz w:val="20"/>
          <w:szCs w:val="20"/>
          <w:u w:val="single"/>
        </w:rPr>
      </w:pPr>
      <w:r w:rsidRPr="00ED1038">
        <w:rPr>
          <w:rFonts w:ascii="Arial" w:eastAsia="Times New Roman" w:hAnsi="Arial" w:cs="Arial"/>
          <w:color w:val="000000" w:themeColor="text1"/>
          <w:sz w:val="20"/>
          <w:szCs w:val="20"/>
          <w:u w:val="single"/>
        </w:rPr>
        <w:t>Support Services (Increase of £</w:t>
      </w:r>
      <w:r w:rsidR="00581A4F" w:rsidRPr="00ED1038">
        <w:rPr>
          <w:rFonts w:ascii="Arial" w:eastAsia="Times New Roman" w:hAnsi="Arial" w:cs="Arial"/>
          <w:color w:val="000000" w:themeColor="text1"/>
          <w:sz w:val="20"/>
          <w:szCs w:val="20"/>
          <w:u w:val="single"/>
        </w:rPr>
        <w:t>6</w:t>
      </w:r>
      <w:r w:rsidR="005911A7" w:rsidRPr="00ED1038">
        <w:rPr>
          <w:rFonts w:ascii="Arial" w:eastAsia="Times New Roman" w:hAnsi="Arial" w:cs="Arial"/>
          <w:color w:val="000000" w:themeColor="text1"/>
          <w:sz w:val="20"/>
          <w:szCs w:val="20"/>
          <w:u w:val="single"/>
        </w:rPr>
        <w:t>9</w:t>
      </w:r>
      <w:r w:rsidRPr="00ED1038">
        <w:rPr>
          <w:rFonts w:ascii="Arial" w:eastAsia="Times New Roman" w:hAnsi="Arial" w:cs="Arial"/>
          <w:color w:val="000000" w:themeColor="text1"/>
          <w:sz w:val="20"/>
          <w:szCs w:val="20"/>
          <w:u w:val="single"/>
        </w:rPr>
        <w:t>,000)</w:t>
      </w:r>
    </w:p>
    <w:p w14:paraId="4ACAAE8A" w14:textId="77777777" w:rsidR="00997FBD" w:rsidRPr="00ED1038" w:rsidRDefault="00997FBD" w:rsidP="00CE41E7">
      <w:pPr>
        <w:spacing w:after="0" w:line="240" w:lineRule="auto"/>
        <w:ind w:left="720"/>
        <w:jc w:val="both"/>
        <w:rPr>
          <w:rFonts w:ascii="Arial" w:eastAsia="Times New Roman" w:hAnsi="Arial" w:cs="Arial"/>
          <w:color w:val="000000" w:themeColor="text1"/>
          <w:sz w:val="20"/>
          <w:szCs w:val="20"/>
          <w:u w:val="single"/>
        </w:rPr>
      </w:pPr>
    </w:p>
    <w:p w14:paraId="4BA6E3F7" w14:textId="1D3743AB" w:rsidR="0087688E" w:rsidRPr="00ED1038" w:rsidRDefault="00B52FCF" w:rsidP="00CE41E7">
      <w:pPr>
        <w:spacing w:after="0" w:line="240" w:lineRule="auto"/>
        <w:ind w:left="720"/>
        <w:jc w:val="both"/>
        <w:rPr>
          <w:rFonts w:ascii="Arial" w:eastAsia="Times New Roman" w:hAnsi="Arial" w:cs="Arial"/>
          <w:color w:val="000000" w:themeColor="text1"/>
          <w:sz w:val="20"/>
          <w:szCs w:val="20"/>
        </w:rPr>
      </w:pPr>
      <w:r w:rsidRPr="00ED1038">
        <w:rPr>
          <w:rFonts w:ascii="Arial" w:eastAsia="Times New Roman" w:hAnsi="Arial" w:cs="Arial"/>
          <w:color w:val="000000" w:themeColor="text1"/>
          <w:sz w:val="20"/>
          <w:szCs w:val="20"/>
        </w:rPr>
        <w:t xml:space="preserve">Increase mainly reflects the </w:t>
      </w:r>
      <w:r w:rsidR="004128B4" w:rsidRPr="00ED1038">
        <w:rPr>
          <w:rFonts w:ascii="Arial" w:eastAsia="Times New Roman" w:hAnsi="Arial" w:cs="Arial"/>
          <w:color w:val="000000" w:themeColor="text1"/>
          <w:sz w:val="20"/>
          <w:szCs w:val="20"/>
        </w:rPr>
        <w:t>assumed level of inflation</w:t>
      </w:r>
      <w:r w:rsidRPr="00ED1038">
        <w:rPr>
          <w:rFonts w:ascii="Arial" w:eastAsia="Times New Roman" w:hAnsi="Arial" w:cs="Arial"/>
          <w:color w:val="000000" w:themeColor="text1"/>
          <w:sz w:val="20"/>
          <w:szCs w:val="20"/>
        </w:rPr>
        <w:t>, this recharge mainly relates to staffing and therefore</w:t>
      </w:r>
      <w:r w:rsidR="00266609" w:rsidRPr="00ED1038">
        <w:rPr>
          <w:rFonts w:ascii="Arial" w:eastAsia="Times New Roman" w:hAnsi="Arial" w:cs="Arial"/>
          <w:color w:val="000000" w:themeColor="text1"/>
          <w:sz w:val="20"/>
          <w:szCs w:val="20"/>
        </w:rPr>
        <w:t xml:space="preserve"> also</w:t>
      </w:r>
      <w:r w:rsidRPr="00ED1038">
        <w:rPr>
          <w:rFonts w:ascii="Arial" w:eastAsia="Times New Roman" w:hAnsi="Arial" w:cs="Arial"/>
          <w:color w:val="000000" w:themeColor="text1"/>
          <w:sz w:val="20"/>
          <w:szCs w:val="20"/>
        </w:rPr>
        <w:t xml:space="preserve"> fluctuate in line with</w:t>
      </w:r>
      <w:r w:rsidR="00BD4DFA" w:rsidRPr="00ED1038">
        <w:rPr>
          <w:rFonts w:ascii="Arial" w:eastAsia="Times New Roman" w:hAnsi="Arial" w:cs="Arial"/>
          <w:color w:val="000000" w:themeColor="text1"/>
          <w:sz w:val="20"/>
          <w:szCs w:val="20"/>
        </w:rPr>
        <w:t xml:space="preserve"> assumed</w:t>
      </w:r>
      <w:r w:rsidRPr="00ED1038">
        <w:rPr>
          <w:rFonts w:ascii="Arial" w:eastAsia="Times New Roman" w:hAnsi="Arial" w:cs="Arial"/>
          <w:color w:val="000000" w:themeColor="text1"/>
          <w:sz w:val="20"/>
          <w:szCs w:val="20"/>
        </w:rPr>
        <w:t xml:space="preserve"> pay inflation.</w:t>
      </w:r>
    </w:p>
    <w:p w14:paraId="5C846833" w14:textId="6C2BBB14" w:rsidR="00A56C65" w:rsidRPr="00ED1038" w:rsidRDefault="00A56C65" w:rsidP="00CE41E7">
      <w:pPr>
        <w:tabs>
          <w:tab w:val="left" w:pos="1134"/>
          <w:tab w:val="left" w:pos="2304"/>
          <w:tab w:val="left" w:pos="2880"/>
          <w:tab w:val="left" w:pos="8647"/>
        </w:tabs>
        <w:spacing w:after="0" w:line="240" w:lineRule="auto"/>
        <w:ind w:left="720"/>
        <w:jc w:val="both"/>
        <w:rPr>
          <w:rFonts w:ascii="Arial" w:eastAsia="Times New Roman" w:hAnsi="Arial" w:cs="Arial"/>
          <w:sz w:val="20"/>
          <w:szCs w:val="20"/>
        </w:rPr>
      </w:pPr>
    </w:p>
    <w:p w14:paraId="5E9E54D3" w14:textId="7AB1328B" w:rsidR="001D48BC" w:rsidRPr="00ED1038" w:rsidRDefault="001D48BC" w:rsidP="00CE41E7">
      <w:pPr>
        <w:spacing w:after="0" w:line="240" w:lineRule="auto"/>
        <w:ind w:left="720"/>
        <w:jc w:val="both"/>
        <w:rPr>
          <w:rFonts w:ascii="Arial" w:eastAsia="Times New Roman" w:hAnsi="Arial" w:cs="Arial"/>
          <w:color w:val="000000" w:themeColor="text1"/>
          <w:sz w:val="20"/>
          <w:szCs w:val="20"/>
          <w:u w:val="single"/>
        </w:rPr>
      </w:pPr>
      <w:r w:rsidRPr="00ED1038">
        <w:rPr>
          <w:rFonts w:ascii="Arial" w:eastAsia="Times New Roman" w:hAnsi="Arial" w:cs="Arial"/>
          <w:color w:val="000000" w:themeColor="text1"/>
          <w:sz w:val="20"/>
          <w:szCs w:val="20"/>
          <w:u w:val="single"/>
        </w:rPr>
        <w:t>Capital Financing Costs</w:t>
      </w:r>
      <w:r w:rsidR="00BD62D0" w:rsidRPr="00ED1038">
        <w:rPr>
          <w:rFonts w:ascii="Arial" w:eastAsia="Times New Roman" w:hAnsi="Arial" w:cs="Arial"/>
          <w:color w:val="000000" w:themeColor="text1"/>
          <w:sz w:val="20"/>
          <w:szCs w:val="20"/>
          <w:u w:val="single"/>
        </w:rPr>
        <w:t xml:space="preserve"> (</w:t>
      </w:r>
      <w:r w:rsidR="005911A7" w:rsidRPr="00ED1038">
        <w:rPr>
          <w:rFonts w:ascii="Arial" w:eastAsia="Times New Roman" w:hAnsi="Arial" w:cs="Arial"/>
          <w:color w:val="000000" w:themeColor="text1"/>
          <w:sz w:val="20"/>
          <w:szCs w:val="20"/>
          <w:u w:val="single"/>
        </w:rPr>
        <w:t>De</w:t>
      </w:r>
      <w:r w:rsidR="00581A4F" w:rsidRPr="00ED1038">
        <w:rPr>
          <w:rFonts w:ascii="Arial" w:eastAsia="Times New Roman" w:hAnsi="Arial" w:cs="Arial"/>
          <w:color w:val="000000" w:themeColor="text1"/>
          <w:sz w:val="20"/>
          <w:szCs w:val="20"/>
          <w:u w:val="single"/>
        </w:rPr>
        <w:t>c</w:t>
      </w:r>
      <w:r w:rsidR="00A56C65" w:rsidRPr="00ED1038">
        <w:rPr>
          <w:rFonts w:ascii="Arial" w:eastAsia="Times New Roman" w:hAnsi="Arial" w:cs="Arial"/>
          <w:color w:val="000000" w:themeColor="text1"/>
          <w:sz w:val="20"/>
          <w:szCs w:val="20"/>
          <w:u w:val="single"/>
        </w:rPr>
        <w:t>rease of £</w:t>
      </w:r>
      <w:r w:rsidR="003C3367">
        <w:rPr>
          <w:rFonts w:ascii="Arial" w:eastAsia="Times New Roman" w:hAnsi="Arial" w:cs="Arial"/>
          <w:color w:val="000000" w:themeColor="text1"/>
          <w:sz w:val="20"/>
          <w:szCs w:val="20"/>
          <w:u w:val="single"/>
        </w:rPr>
        <w:t>61</w:t>
      </w:r>
      <w:r w:rsidR="00A56C65" w:rsidRPr="00ED1038">
        <w:rPr>
          <w:rFonts w:ascii="Arial" w:eastAsia="Times New Roman" w:hAnsi="Arial" w:cs="Arial"/>
          <w:color w:val="000000" w:themeColor="text1"/>
          <w:sz w:val="20"/>
          <w:szCs w:val="20"/>
          <w:u w:val="single"/>
        </w:rPr>
        <w:t>,000)</w:t>
      </w:r>
    </w:p>
    <w:p w14:paraId="1E2269B5" w14:textId="77777777" w:rsidR="00997FBD" w:rsidRPr="00ED1038" w:rsidRDefault="00997FBD" w:rsidP="00CE41E7">
      <w:pPr>
        <w:spacing w:after="0" w:line="240" w:lineRule="auto"/>
        <w:ind w:left="720"/>
        <w:jc w:val="both"/>
        <w:rPr>
          <w:rFonts w:ascii="Arial" w:eastAsia="Times New Roman" w:hAnsi="Arial" w:cs="Arial"/>
          <w:color w:val="000000" w:themeColor="text1"/>
          <w:sz w:val="20"/>
          <w:szCs w:val="20"/>
          <w:u w:val="single"/>
        </w:rPr>
      </w:pPr>
    </w:p>
    <w:p w14:paraId="7B291CDB" w14:textId="0ABA741A" w:rsidR="00ED4D1A" w:rsidRPr="00ED1038" w:rsidRDefault="00450D30" w:rsidP="00CE41E7">
      <w:pPr>
        <w:spacing w:after="0" w:line="240" w:lineRule="auto"/>
        <w:ind w:left="720"/>
        <w:jc w:val="both"/>
        <w:rPr>
          <w:rFonts w:ascii="Arial" w:eastAsia="Times New Roman" w:hAnsi="Arial" w:cs="Arial"/>
          <w:color w:val="000000" w:themeColor="text1"/>
          <w:sz w:val="20"/>
          <w:szCs w:val="20"/>
        </w:rPr>
      </w:pPr>
      <w:r w:rsidRPr="00ED1038">
        <w:rPr>
          <w:rFonts w:ascii="Arial" w:eastAsia="Times New Roman" w:hAnsi="Arial" w:cs="Arial"/>
          <w:color w:val="000000" w:themeColor="text1"/>
          <w:sz w:val="20"/>
          <w:szCs w:val="20"/>
        </w:rPr>
        <w:t>The overall capital financing costs included have increased to support the delivery of the latest approved Housing HRA Capital Plan 202</w:t>
      </w:r>
      <w:r w:rsidR="005911A7" w:rsidRPr="00ED1038">
        <w:rPr>
          <w:rFonts w:ascii="Arial" w:eastAsia="Times New Roman" w:hAnsi="Arial" w:cs="Arial"/>
          <w:color w:val="000000" w:themeColor="text1"/>
          <w:sz w:val="20"/>
          <w:szCs w:val="20"/>
        </w:rPr>
        <w:t>1</w:t>
      </w:r>
      <w:r w:rsidRPr="00ED1038">
        <w:rPr>
          <w:rFonts w:ascii="Arial" w:eastAsia="Times New Roman" w:hAnsi="Arial" w:cs="Arial"/>
          <w:color w:val="000000" w:themeColor="text1"/>
          <w:sz w:val="20"/>
          <w:szCs w:val="20"/>
        </w:rPr>
        <w:t>-2</w:t>
      </w:r>
      <w:r w:rsidR="005911A7" w:rsidRPr="00ED1038">
        <w:rPr>
          <w:rFonts w:ascii="Arial" w:eastAsia="Times New Roman" w:hAnsi="Arial" w:cs="Arial"/>
          <w:color w:val="000000" w:themeColor="text1"/>
          <w:sz w:val="20"/>
          <w:szCs w:val="20"/>
        </w:rPr>
        <w:t>6</w:t>
      </w:r>
      <w:r w:rsidRPr="00ED1038">
        <w:rPr>
          <w:rFonts w:ascii="Arial" w:eastAsia="Times New Roman" w:hAnsi="Arial" w:cs="Arial"/>
          <w:color w:val="000000" w:themeColor="text1"/>
          <w:sz w:val="20"/>
          <w:szCs w:val="20"/>
        </w:rPr>
        <w:t>, that provides for gross investment of more than £</w:t>
      </w:r>
      <w:r w:rsidR="00462FF4" w:rsidRPr="00ED1038">
        <w:rPr>
          <w:rFonts w:ascii="Arial" w:eastAsia="Times New Roman" w:hAnsi="Arial" w:cs="Arial"/>
          <w:color w:val="000000" w:themeColor="text1"/>
          <w:sz w:val="20"/>
          <w:szCs w:val="20"/>
        </w:rPr>
        <w:t>1</w:t>
      </w:r>
      <w:r w:rsidR="008D5BC3" w:rsidRPr="00ED1038">
        <w:rPr>
          <w:rFonts w:ascii="Arial" w:eastAsia="Times New Roman" w:hAnsi="Arial" w:cs="Arial"/>
          <w:color w:val="000000" w:themeColor="text1"/>
          <w:sz w:val="20"/>
          <w:szCs w:val="20"/>
        </w:rPr>
        <w:t>20</w:t>
      </w:r>
      <w:r w:rsidRPr="00ED1038">
        <w:rPr>
          <w:rFonts w:ascii="Arial" w:eastAsia="Times New Roman" w:hAnsi="Arial" w:cs="Arial"/>
          <w:color w:val="000000" w:themeColor="text1"/>
          <w:sz w:val="20"/>
          <w:szCs w:val="20"/>
        </w:rPr>
        <w:t xml:space="preserve">m over this </w:t>
      </w:r>
      <w:r w:rsidR="00870162" w:rsidRPr="00ED1038">
        <w:rPr>
          <w:rFonts w:ascii="Arial" w:eastAsia="Times New Roman" w:hAnsi="Arial" w:cs="Arial"/>
          <w:color w:val="000000" w:themeColor="text1"/>
          <w:sz w:val="20"/>
          <w:szCs w:val="20"/>
        </w:rPr>
        <w:t>five-year</w:t>
      </w:r>
      <w:r w:rsidRPr="00ED1038">
        <w:rPr>
          <w:rFonts w:ascii="Arial" w:eastAsia="Times New Roman" w:hAnsi="Arial" w:cs="Arial"/>
          <w:color w:val="000000" w:themeColor="text1"/>
          <w:sz w:val="20"/>
          <w:szCs w:val="20"/>
        </w:rPr>
        <w:t xml:space="preserve"> period (</w:t>
      </w:r>
      <w:r w:rsidR="00CB3E43" w:rsidRPr="00ED1038">
        <w:rPr>
          <w:rFonts w:ascii="Arial" w:eastAsia="Times New Roman" w:hAnsi="Arial" w:cs="Arial"/>
          <w:color w:val="000000" w:themeColor="text1"/>
          <w:sz w:val="20"/>
          <w:szCs w:val="20"/>
        </w:rPr>
        <w:t>Item</w:t>
      </w:r>
      <w:r w:rsidR="008D5BC3" w:rsidRPr="00ED1038">
        <w:rPr>
          <w:rFonts w:ascii="Arial" w:eastAsia="Times New Roman" w:hAnsi="Arial" w:cs="Arial"/>
          <w:color w:val="000000" w:themeColor="text1"/>
          <w:sz w:val="20"/>
          <w:szCs w:val="20"/>
        </w:rPr>
        <w:t xml:space="preserve"> VIII</w:t>
      </w:r>
      <w:r w:rsidRPr="00ED1038">
        <w:rPr>
          <w:rFonts w:ascii="Arial" w:eastAsia="Times New Roman" w:hAnsi="Arial" w:cs="Arial"/>
          <w:color w:val="000000" w:themeColor="text1"/>
          <w:sz w:val="20"/>
          <w:szCs w:val="20"/>
        </w:rPr>
        <w:t xml:space="preserve"> of </w:t>
      </w:r>
      <w:r w:rsidR="00CB3E43" w:rsidRPr="00ED1038">
        <w:rPr>
          <w:rFonts w:ascii="Arial" w:eastAsia="Times New Roman" w:hAnsi="Arial" w:cs="Arial"/>
          <w:color w:val="000000" w:themeColor="text1"/>
          <w:sz w:val="20"/>
          <w:szCs w:val="20"/>
        </w:rPr>
        <w:t xml:space="preserve">Agenda for </w:t>
      </w:r>
      <w:r w:rsidRPr="00ED1038">
        <w:rPr>
          <w:rFonts w:ascii="Arial" w:eastAsia="Times New Roman" w:hAnsi="Arial" w:cs="Arial"/>
          <w:color w:val="000000" w:themeColor="text1"/>
          <w:sz w:val="20"/>
          <w:szCs w:val="20"/>
        </w:rPr>
        <w:t>the meeting of Policy &amp; Resources Committee on 2</w:t>
      </w:r>
      <w:r w:rsidR="008D5BC3" w:rsidRPr="00ED1038">
        <w:rPr>
          <w:rFonts w:ascii="Arial" w:eastAsia="Times New Roman" w:hAnsi="Arial" w:cs="Arial"/>
          <w:color w:val="000000" w:themeColor="text1"/>
          <w:sz w:val="20"/>
          <w:szCs w:val="20"/>
        </w:rPr>
        <w:t>2</w:t>
      </w:r>
      <w:r w:rsidRPr="00ED1038">
        <w:rPr>
          <w:rFonts w:ascii="Arial" w:eastAsia="Times New Roman" w:hAnsi="Arial" w:cs="Arial"/>
          <w:color w:val="000000" w:themeColor="text1"/>
          <w:sz w:val="20"/>
          <w:szCs w:val="20"/>
        </w:rPr>
        <w:t xml:space="preserve"> </w:t>
      </w:r>
      <w:r w:rsidR="008D5BC3" w:rsidRPr="00ED1038">
        <w:rPr>
          <w:rFonts w:ascii="Arial" w:eastAsia="Times New Roman" w:hAnsi="Arial" w:cs="Arial"/>
          <w:color w:val="000000" w:themeColor="text1"/>
          <w:sz w:val="20"/>
          <w:szCs w:val="20"/>
        </w:rPr>
        <w:t>February</w:t>
      </w:r>
      <w:r w:rsidRPr="00ED1038">
        <w:rPr>
          <w:rFonts w:ascii="Arial" w:eastAsia="Times New Roman" w:hAnsi="Arial" w:cs="Arial"/>
          <w:color w:val="000000" w:themeColor="text1"/>
          <w:sz w:val="20"/>
          <w:szCs w:val="20"/>
        </w:rPr>
        <w:t xml:space="preserve"> 202</w:t>
      </w:r>
      <w:r w:rsidR="008D5BC3" w:rsidRPr="00ED1038">
        <w:rPr>
          <w:rFonts w:ascii="Arial" w:eastAsia="Times New Roman" w:hAnsi="Arial" w:cs="Arial"/>
          <w:color w:val="000000" w:themeColor="text1"/>
          <w:sz w:val="20"/>
          <w:szCs w:val="20"/>
        </w:rPr>
        <w:t>1</w:t>
      </w:r>
      <w:r w:rsidRPr="00ED1038">
        <w:rPr>
          <w:rFonts w:ascii="Arial" w:eastAsia="Times New Roman" w:hAnsi="Arial" w:cs="Arial"/>
          <w:color w:val="000000" w:themeColor="text1"/>
          <w:sz w:val="20"/>
          <w:szCs w:val="20"/>
        </w:rPr>
        <w:t xml:space="preserve">, Report No: </w:t>
      </w:r>
      <w:r w:rsidR="008D5BC3" w:rsidRPr="00ED1038">
        <w:rPr>
          <w:rFonts w:ascii="Arial" w:eastAsia="Times New Roman" w:hAnsi="Arial" w:cs="Arial"/>
          <w:color w:val="000000" w:themeColor="text1"/>
          <w:sz w:val="20"/>
          <w:szCs w:val="20"/>
        </w:rPr>
        <w:t>55</w:t>
      </w:r>
      <w:r w:rsidRPr="00ED1038">
        <w:rPr>
          <w:rFonts w:ascii="Arial" w:eastAsia="Times New Roman" w:hAnsi="Arial" w:cs="Arial"/>
          <w:color w:val="000000" w:themeColor="text1"/>
          <w:sz w:val="20"/>
          <w:szCs w:val="20"/>
        </w:rPr>
        <w:t>-202</w:t>
      </w:r>
      <w:r w:rsidR="008D5BC3" w:rsidRPr="00ED1038">
        <w:rPr>
          <w:rFonts w:ascii="Arial" w:eastAsia="Times New Roman" w:hAnsi="Arial" w:cs="Arial"/>
          <w:color w:val="000000" w:themeColor="text1"/>
          <w:sz w:val="20"/>
          <w:szCs w:val="20"/>
        </w:rPr>
        <w:t>1</w:t>
      </w:r>
      <w:r w:rsidRPr="00ED1038">
        <w:rPr>
          <w:rFonts w:ascii="Arial" w:eastAsia="Times New Roman" w:hAnsi="Arial" w:cs="Arial"/>
          <w:color w:val="000000" w:themeColor="text1"/>
          <w:sz w:val="20"/>
          <w:szCs w:val="20"/>
        </w:rPr>
        <w:t xml:space="preserve"> refers</w:t>
      </w:r>
      <w:r w:rsidR="00CB3E43" w:rsidRPr="00ED1038">
        <w:rPr>
          <w:rFonts w:ascii="Arial" w:eastAsia="Times New Roman" w:hAnsi="Arial" w:cs="Arial"/>
          <w:color w:val="000000" w:themeColor="text1"/>
          <w:sz w:val="20"/>
          <w:szCs w:val="20"/>
        </w:rPr>
        <w:t>)</w:t>
      </w:r>
      <w:r w:rsidRPr="00ED1038">
        <w:rPr>
          <w:rFonts w:ascii="Arial" w:eastAsia="Times New Roman" w:hAnsi="Arial" w:cs="Arial"/>
          <w:color w:val="000000" w:themeColor="text1"/>
          <w:sz w:val="20"/>
          <w:szCs w:val="20"/>
        </w:rPr>
        <w:t>.</w:t>
      </w:r>
    </w:p>
    <w:p w14:paraId="4E0BEBB1" w14:textId="77777777" w:rsidR="00997FBD" w:rsidRPr="00ED1038" w:rsidRDefault="00997FBD" w:rsidP="00CE41E7">
      <w:pPr>
        <w:spacing w:after="0" w:line="240" w:lineRule="auto"/>
        <w:ind w:left="720"/>
        <w:jc w:val="both"/>
        <w:rPr>
          <w:rFonts w:ascii="Arial" w:eastAsia="Times New Roman" w:hAnsi="Arial" w:cs="Arial"/>
          <w:color w:val="000000" w:themeColor="text1"/>
          <w:sz w:val="20"/>
          <w:szCs w:val="20"/>
        </w:rPr>
      </w:pPr>
    </w:p>
    <w:p w14:paraId="3A4082B8" w14:textId="2E04C4F1" w:rsidR="00B52FCF" w:rsidRPr="00ED1038" w:rsidRDefault="00B52FCF" w:rsidP="00CE41E7">
      <w:pPr>
        <w:spacing w:after="0" w:line="240" w:lineRule="auto"/>
        <w:ind w:left="720"/>
        <w:jc w:val="both"/>
        <w:rPr>
          <w:rFonts w:ascii="Arial" w:eastAsia="Times New Roman" w:hAnsi="Arial" w:cs="Arial"/>
          <w:color w:val="000000" w:themeColor="text1"/>
          <w:sz w:val="20"/>
          <w:szCs w:val="20"/>
        </w:rPr>
      </w:pPr>
      <w:r w:rsidRPr="00ED1038">
        <w:rPr>
          <w:rFonts w:ascii="Arial" w:eastAsia="Times New Roman" w:hAnsi="Arial" w:cs="Arial"/>
          <w:color w:val="000000" w:themeColor="text1"/>
          <w:sz w:val="20"/>
          <w:szCs w:val="20"/>
        </w:rPr>
        <w:t>These borrowing costs will continue to support the delivery of key housing investment priorities included in this plan such as maintaining Council houses at Scottish Housing Quality Standard, progressing towards meeting the Energy Effici</w:t>
      </w:r>
      <w:r w:rsidR="00284CAF" w:rsidRPr="00ED1038">
        <w:rPr>
          <w:rFonts w:ascii="Arial" w:eastAsia="Times New Roman" w:hAnsi="Arial" w:cs="Arial"/>
          <w:color w:val="000000" w:themeColor="text1"/>
          <w:sz w:val="20"/>
          <w:szCs w:val="20"/>
        </w:rPr>
        <w:t>ency Standard</w:t>
      </w:r>
      <w:r w:rsidR="00BB756D" w:rsidRPr="00ED1038">
        <w:rPr>
          <w:rFonts w:ascii="Arial" w:eastAsia="Times New Roman" w:hAnsi="Arial" w:cs="Arial"/>
          <w:color w:val="000000" w:themeColor="text1"/>
          <w:sz w:val="20"/>
          <w:szCs w:val="20"/>
        </w:rPr>
        <w:t xml:space="preserve">s </w:t>
      </w:r>
      <w:r w:rsidR="00284CAF" w:rsidRPr="00ED1038">
        <w:rPr>
          <w:rFonts w:ascii="Arial" w:eastAsia="Times New Roman" w:hAnsi="Arial" w:cs="Arial"/>
          <w:color w:val="000000" w:themeColor="text1"/>
          <w:sz w:val="20"/>
          <w:szCs w:val="20"/>
        </w:rPr>
        <w:t>in Social Housing</w:t>
      </w:r>
      <w:r w:rsidR="00E4344D" w:rsidRPr="00ED1038">
        <w:rPr>
          <w:rFonts w:ascii="Arial" w:eastAsia="Times New Roman" w:hAnsi="Arial" w:cs="Arial"/>
          <w:color w:val="000000" w:themeColor="text1"/>
          <w:sz w:val="20"/>
          <w:szCs w:val="20"/>
        </w:rPr>
        <w:t xml:space="preserve"> and</w:t>
      </w:r>
      <w:r w:rsidRPr="00ED1038">
        <w:rPr>
          <w:rFonts w:ascii="Arial" w:eastAsia="Times New Roman" w:hAnsi="Arial" w:cs="Arial"/>
          <w:color w:val="000000" w:themeColor="text1"/>
          <w:sz w:val="20"/>
          <w:szCs w:val="20"/>
        </w:rPr>
        <w:t xml:space="preserve"> the continuation of the Council’s new build council housing programme.</w:t>
      </w:r>
    </w:p>
    <w:p w14:paraId="3D0F907F" w14:textId="77777777" w:rsidR="00997FBD" w:rsidRPr="00ED1038" w:rsidRDefault="00997FBD" w:rsidP="00CE41E7">
      <w:pPr>
        <w:spacing w:after="0" w:line="240" w:lineRule="auto"/>
        <w:ind w:left="720" w:hanging="720"/>
        <w:jc w:val="both"/>
        <w:rPr>
          <w:rFonts w:ascii="Arial" w:eastAsia="Times New Roman" w:hAnsi="Arial" w:cs="Arial"/>
          <w:color w:val="000000" w:themeColor="text1"/>
          <w:sz w:val="20"/>
          <w:szCs w:val="20"/>
        </w:rPr>
      </w:pPr>
    </w:p>
    <w:p w14:paraId="551C469F" w14:textId="77777777" w:rsidR="00FD18EB" w:rsidRPr="00ED1038" w:rsidRDefault="00F6227F" w:rsidP="00CE41E7">
      <w:pPr>
        <w:tabs>
          <w:tab w:val="left" w:pos="1134"/>
          <w:tab w:val="left" w:pos="2304"/>
          <w:tab w:val="left" w:pos="2880"/>
          <w:tab w:val="left" w:pos="8647"/>
        </w:tabs>
        <w:spacing w:after="0" w:line="240" w:lineRule="auto"/>
        <w:ind w:left="720" w:hanging="720"/>
        <w:jc w:val="both"/>
        <w:rPr>
          <w:rFonts w:ascii="Arial" w:eastAsia="Times New Roman" w:hAnsi="Arial" w:cs="Arial"/>
          <w:color w:val="000000" w:themeColor="text1"/>
          <w:sz w:val="20"/>
          <w:szCs w:val="20"/>
        </w:rPr>
      </w:pPr>
      <w:r w:rsidRPr="00ED1038">
        <w:rPr>
          <w:rFonts w:ascii="Arial" w:eastAsia="Times New Roman" w:hAnsi="Arial" w:cs="Arial"/>
          <w:color w:val="000000" w:themeColor="text1"/>
          <w:sz w:val="20"/>
          <w:szCs w:val="20"/>
        </w:rPr>
        <w:t>5.4</w:t>
      </w:r>
      <w:r w:rsidR="00FD18EB" w:rsidRPr="00ED1038">
        <w:rPr>
          <w:rFonts w:ascii="Arial" w:eastAsia="Times New Roman" w:hAnsi="Arial" w:cs="Arial"/>
          <w:color w:val="000000" w:themeColor="text1"/>
          <w:sz w:val="20"/>
          <w:szCs w:val="20"/>
        </w:rPr>
        <w:tab/>
        <w:t xml:space="preserve">The Provisional </w:t>
      </w:r>
      <w:r w:rsidRPr="00ED1038">
        <w:rPr>
          <w:rFonts w:ascii="Arial" w:eastAsia="Times New Roman" w:hAnsi="Arial" w:cs="Arial"/>
          <w:color w:val="000000" w:themeColor="text1"/>
          <w:sz w:val="20"/>
          <w:szCs w:val="20"/>
        </w:rPr>
        <w:t xml:space="preserve">Housing (HRA) </w:t>
      </w:r>
      <w:r w:rsidR="00FD18EB" w:rsidRPr="00ED1038">
        <w:rPr>
          <w:rFonts w:ascii="Arial" w:eastAsia="Times New Roman" w:hAnsi="Arial" w:cs="Arial"/>
          <w:color w:val="000000" w:themeColor="text1"/>
          <w:sz w:val="20"/>
          <w:szCs w:val="20"/>
        </w:rPr>
        <w:t>Revenue Budget 20</w:t>
      </w:r>
      <w:r w:rsidRPr="00ED1038">
        <w:rPr>
          <w:rFonts w:ascii="Arial" w:eastAsia="Times New Roman" w:hAnsi="Arial" w:cs="Arial"/>
          <w:color w:val="000000" w:themeColor="text1"/>
          <w:sz w:val="20"/>
          <w:szCs w:val="20"/>
        </w:rPr>
        <w:t>2</w:t>
      </w:r>
      <w:r w:rsidR="008D5BC3" w:rsidRPr="00ED1038">
        <w:rPr>
          <w:rFonts w:ascii="Arial" w:eastAsia="Times New Roman" w:hAnsi="Arial" w:cs="Arial"/>
          <w:color w:val="000000" w:themeColor="text1"/>
          <w:sz w:val="20"/>
          <w:szCs w:val="20"/>
        </w:rPr>
        <w:t>2</w:t>
      </w:r>
      <w:r w:rsidR="00FD18EB" w:rsidRPr="00ED1038">
        <w:rPr>
          <w:rFonts w:ascii="Arial" w:eastAsia="Times New Roman" w:hAnsi="Arial" w:cs="Arial"/>
          <w:color w:val="000000" w:themeColor="text1"/>
          <w:sz w:val="20"/>
          <w:szCs w:val="20"/>
        </w:rPr>
        <w:t>/2</w:t>
      </w:r>
      <w:r w:rsidR="008D5BC3" w:rsidRPr="00ED1038">
        <w:rPr>
          <w:rFonts w:ascii="Arial" w:eastAsia="Times New Roman" w:hAnsi="Arial" w:cs="Arial"/>
          <w:color w:val="000000" w:themeColor="text1"/>
          <w:sz w:val="20"/>
          <w:szCs w:val="20"/>
        </w:rPr>
        <w:t>3</w:t>
      </w:r>
      <w:r w:rsidR="00FD18EB" w:rsidRPr="00ED1038">
        <w:rPr>
          <w:rFonts w:ascii="Arial" w:eastAsia="Times New Roman" w:hAnsi="Arial" w:cs="Arial"/>
          <w:color w:val="000000" w:themeColor="text1"/>
          <w:sz w:val="20"/>
          <w:szCs w:val="20"/>
        </w:rPr>
        <w:t xml:space="preserve"> detailed in Appendix 1 makes a number of assumptions relating to other housing charges for financial year 20</w:t>
      </w:r>
      <w:r w:rsidRPr="00ED1038">
        <w:rPr>
          <w:rFonts w:ascii="Arial" w:eastAsia="Times New Roman" w:hAnsi="Arial" w:cs="Arial"/>
          <w:color w:val="000000" w:themeColor="text1"/>
          <w:sz w:val="20"/>
          <w:szCs w:val="20"/>
        </w:rPr>
        <w:t>2</w:t>
      </w:r>
      <w:r w:rsidR="008D5BC3" w:rsidRPr="00ED1038">
        <w:rPr>
          <w:rFonts w:ascii="Arial" w:eastAsia="Times New Roman" w:hAnsi="Arial" w:cs="Arial"/>
          <w:color w:val="000000" w:themeColor="text1"/>
          <w:sz w:val="20"/>
          <w:szCs w:val="20"/>
        </w:rPr>
        <w:t>2</w:t>
      </w:r>
      <w:r w:rsidR="00FD18EB" w:rsidRPr="00ED1038">
        <w:rPr>
          <w:rFonts w:ascii="Arial" w:eastAsia="Times New Roman" w:hAnsi="Arial" w:cs="Arial"/>
          <w:color w:val="000000" w:themeColor="text1"/>
          <w:sz w:val="20"/>
          <w:szCs w:val="20"/>
        </w:rPr>
        <w:t>/2</w:t>
      </w:r>
      <w:r w:rsidR="008D5BC3" w:rsidRPr="00ED1038">
        <w:rPr>
          <w:rFonts w:ascii="Arial" w:eastAsia="Times New Roman" w:hAnsi="Arial" w:cs="Arial"/>
          <w:color w:val="000000" w:themeColor="text1"/>
          <w:sz w:val="20"/>
          <w:szCs w:val="20"/>
        </w:rPr>
        <w:t>3</w:t>
      </w:r>
      <w:r w:rsidR="00FD18EB" w:rsidRPr="00ED1038">
        <w:rPr>
          <w:rFonts w:ascii="Arial" w:eastAsia="Times New Roman" w:hAnsi="Arial" w:cs="Arial"/>
          <w:color w:val="000000" w:themeColor="text1"/>
          <w:sz w:val="20"/>
          <w:szCs w:val="20"/>
        </w:rPr>
        <w:t xml:space="preserve">.  These charges include a proposal to </w:t>
      </w:r>
      <w:r w:rsidR="00346113" w:rsidRPr="00ED1038">
        <w:rPr>
          <w:rFonts w:ascii="Arial" w:eastAsia="Times New Roman" w:hAnsi="Arial" w:cs="Arial"/>
          <w:color w:val="000000" w:themeColor="text1"/>
          <w:sz w:val="20"/>
          <w:szCs w:val="20"/>
        </w:rPr>
        <w:t>freeze</w:t>
      </w:r>
      <w:r w:rsidR="00FD18EB" w:rsidRPr="00ED1038">
        <w:rPr>
          <w:rFonts w:ascii="Arial" w:eastAsia="Times New Roman" w:hAnsi="Arial" w:cs="Arial"/>
          <w:color w:val="000000" w:themeColor="text1"/>
          <w:sz w:val="20"/>
          <w:szCs w:val="20"/>
        </w:rPr>
        <w:t xml:space="preserve"> the </w:t>
      </w:r>
      <w:r w:rsidR="00346113" w:rsidRPr="00ED1038">
        <w:rPr>
          <w:rFonts w:ascii="Arial" w:eastAsia="Times New Roman" w:hAnsi="Arial" w:cs="Arial"/>
          <w:color w:val="000000" w:themeColor="text1"/>
          <w:sz w:val="20"/>
          <w:szCs w:val="20"/>
        </w:rPr>
        <w:t xml:space="preserve">current </w:t>
      </w:r>
      <w:r w:rsidR="00FD18EB" w:rsidRPr="00ED1038">
        <w:rPr>
          <w:rFonts w:ascii="Arial" w:eastAsia="Times New Roman" w:hAnsi="Arial" w:cs="Arial"/>
          <w:color w:val="000000" w:themeColor="text1"/>
          <w:sz w:val="20"/>
          <w:szCs w:val="20"/>
        </w:rPr>
        <w:t>sheltered warden service charge.  The cost of the sheltered warden service is fully recovered by the service charge</w:t>
      </w:r>
      <w:r w:rsidRPr="00ED1038">
        <w:rPr>
          <w:rFonts w:ascii="Arial" w:eastAsia="Times New Roman" w:hAnsi="Arial" w:cs="Arial"/>
          <w:color w:val="000000" w:themeColor="text1"/>
          <w:sz w:val="20"/>
          <w:szCs w:val="20"/>
        </w:rPr>
        <w:t xml:space="preserve"> and </w:t>
      </w:r>
      <w:r w:rsidR="00346113" w:rsidRPr="00ED1038">
        <w:rPr>
          <w:rFonts w:ascii="Arial" w:eastAsia="Times New Roman" w:hAnsi="Arial" w:cs="Arial"/>
          <w:color w:val="000000" w:themeColor="text1"/>
          <w:sz w:val="20"/>
          <w:szCs w:val="20"/>
        </w:rPr>
        <w:t>almost three quarters</w:t>
      </w:r>
      <w:r w:rsidR="00581A4F" w:rsidRPr="00ED1038">
        <w:rPr>
          <w:rFonts w:ascii="Arial" w:eastAsia="Times New Roman" w:hAnsi="Arial" w:cs="Arial"/>
          <w:color w:val="000000" w:themeColor="text1"/>
          <w:sz w:val="20"/>
          <w:szCs w:val="20"/>
        </w:rPr>
        <w:t xml:space="preserve"> </w:t>
      </w:r>
      <w:r w:rsidR="00FD18EB" w:rsidRPr="00ED1038">
        <w:rPr>
          <w:rFonts w:ascii="Arial" w:eastAsia="Times New Roman" w:hAnsi="Arial" w:cs="Arial"/>
          <w:color w:val="000000" w:themeColor="text1"/>
          <w:sz w:val="20"/>
          <w:szCs w:val="20"/>
        </w:rPr>
        <w:t xml:space="preserve">of the expenditure for the service relates to staff costs. </w:t>
      </w:r>
      <w:r w:rsidR="00346113" w:rsidRPr="00ED1038">
        <w:rPr>
          <w:rFonts w:ascii="Arial" w:eastAsia="Times New Roman" w:hAnsi="Arial" w:cs="Arial"/>
          <w:color w:val="000000" w:themeColor="text1"/>
          <w:sz w:val="20"/>
          <w:szCs w:val="20"/>
        </w:rPr>
        <w:t xml:space="preserve"> Whilst this element of the budget will require to be adjusted to reflect the assumed pay award, it is envisaged that through</w:t>
      </w:r>
      <w:r w:rsidR="00FD18EB" w:rsidRPr="00ED1038">
        <w:rPr>
          <w:rFonts w:ascii="Arial" w:eastAsia="Times New Roman" w:hAnsi="Arial" w:cs="Arial"/>
          <w:color w:val="000000" w:themeColor="text1"/>
          <w:sz w:val="20"/>
          <w:szCs w:val="20"/>
        </w:rPr>
        <w:t xml:space="preserve"> </w:t>
      </w:r>
      <w:r w:rsidR="00346113" w:rsidRPr="00ED1038">
        <w:rPr>
          <w:rFonts w:ascii="Arial" w:eastAsia="Times New Roman" w:hAnsi="Arial" w:cs="Arial"/>
          <w:color w:val="000000" w:themeColor="text1"/>
          <w:sz w:val="20"/>
          <w:szCs w:val="20"/>
        </w:rPr>
        <w:t>other efficiencies the overall service</w:t>
      </w:r>
      <w:r w:rsidR="00A0703F" w:rsidRPr="00ED1038">
        <w:rPr>
          <w:rFonts w:ascii="Arial" w:eastAsia="Times New Roman" w:hAnsi="Arial" w:cs="Arial"/>
          <w:color w:val="000000" w:themeColor="text1"/>
          <w:sz w:val="20"/>
          <w:szCs w:val="20"/>
        </w:rPr>
        <w:t xml:space="preserve"> can continue to breakeven without having to increase the charge payable be service users.</w:t>
      </w:r>
    </w:p>
    <w:p w14:paraId="38CE2F88" w14:textId="77777777" w:rsidR="00FD18EB" w:rsidRPr="00ED1038" w:rsidRDefault="00FD18EB" w:rsidP="00CE41E7">
      <w:pPr>
        <w:tabs>
          <w:tab w:val="left" w:pos="1134"/>
          <w:tab w:val="left" w:pos="2304"/>
          <w:tab w:val="left" w:pos="2880"/>
          <w:tab w:val="left" w:pos="8647"/>
        </w:tabs>
        <w:spacing w:after="0" w:line="240" w:lineRule="auto"/>
        <w:ind w:left="720" w:hanging="720"/>
        <w:jc w:val="both"/>
        <w:rPr>
          <w:rFonts w:ascii="Arial" w:eastAsia="Times New Roman" w:hAnsi="Arial" w:cs="Arial"/>
          <w:sz w:val="20"/>
          <w:szCs w:val="20"/>
        </w:rPr>
      </w:pPr>
    </w:p>
    <w:p w14:paraId="59025237" w14:textId="77777777" w:rsidR="007565B9" w:rsidRPr="00ED1038" w:rsidRDefault="00F6227F" w:rsidP="00CE41E7">
      <w:pPr>
        <w:tabs>
          <w:tab w:val="left" w:pos="1134"/>
          <w:tab w:val="left" w:pos="2304"/>
          <w:tab w:val="left" w:pos="2880"/>
          <w:tab w:val="left" w:pos="8647"/>
        </w:tabs>
        <w:spacing w:after="0" w:line="240" w:lineRule="auto"/>
        <w:ind w:left="720" w:hanging="720"/>
        <w:jc w:val="both"/>
        <w:rPr>
          <w:rFonts w:ascii="Arial" w:eastAsia="Times New Roman" w:hAnsi="Arial" w:cs="Arial"/>
          <w:color w:val="000000" w:themeColor="text1"/>
          <w:sz w:val="20"/>
          <w:szCs w:val="20"/>
        </w:rPr>
      </w:pPr>
      <w:r w:rsidRPr="00ED1038">
        <w:rPr>
          <w:rFonts w:ascii="Arial" w:eastAsia="Times New Roman" w:hAnsi="Arial" w:cs="Arial"/>
          <w:color w:val="000000" w:themeColor="text1"/>
          <w:sz w:val="20"/>
          <w:szCs w:val="20"/>
        </w:rPr>
        <w:t>5.5</w:t>
      </w:r>
      <w:r w:rsidR="00FD18EB" w:rsidRPr="00ED1038">
        <w:rPr>
          <w:rFonts w:ascii="Arial" w:eastAsia="Times New Roman" w:hAnsi="Arial" w:cs="Arial"/>
          <w:color w:val="000000" w:themeColor="text1"/>
          <w:sz w:val="20"/>
          <w:szCs w:val="20"/>
        </w:rPr>
        <w:tab/>
        <w:t xml:space="preserve">In addition, these charges propose an increase for car parking in garage / lock ups and garage sites by </w:t>
      </w:r>
      <w:r w:rsidR="008D5BC3" w:rsidRPr="00ED1038">
        <w:rPr>
          <w:rFonts w:ascii="Arial" w:eastAsia="Times New Roman" w:hAnsi="Arial" w:cs="Arial"/>
          <w:color w:val="000000" w:themeColor="text1"/>
          <w:sz w:val="20"/>
          <w:szCs w:val="20"/>
        </w:rPr>
        <w:t>5</w:t>
      </w:r>
      <w:r w:rsidR="007709C4" w:rsidRPr="00ED1038">
        <w:rPr>
          <w:rFonts w:ascii="Arial" w:eastAsia="Times New Roman" w:hAnsi="Arial" w:cs="Arial"/>
          <w:color w:val="000000" w:themeColor="text1"/>
          <w:sz w:val="20"/>
          <w:szCs w:val="20"/>
        </w:rPr>
        <w:t>.00</w:t>
      </w:r>
      <w:r w:rsidR="00FD18EB" w:rsidRPr="00ED1038">
        <w:rPr>
          <w:rFonts w:ascii="Arial" w:eastAsia="Times New Roman" w:hAnsi="Arial" w:cs="Arial"/>
          <w:color w:val="000000" w:themeColor="text1"/>
          <w:sz w:val="20"/>
          <w:szCs w:val="20"/>
        </w:rPr>
        <w:t>% to recover the cost of maintaining these properties.  Details of all these charges are included in Appendix 2.</w:t>
      </w:r>
    </w:p>
    <w:p w14:paraId="4918F1B4" w14:textId="19272744" w:rsidR="00FD18EB" w:rsidRPr="00ED1038" w:rsidRDefault="00FD18EB" w:rsidP="00997FBD">
      <w:pPr>
        <w:tabs>
          <w:tab w:val="left" w:pos="1134"/>
          <w:tab w:val="left" w:pos="2304"/>
          <w:tab w:val="left" w:pos="2880"/>
          <w:tab w:val="left" w:pos="8647"/>
        </w:tabs>
        <w:spacing w:after="0" w:line="240" w:lineRule="auto"/>
        <w:ind w:left="567" w:hanging="567"/>
        <w:jc w:val="both"/>
        <w:rPr>
          <w:rFonts w:ascii="Arial" w:eastAsia="Times New Roman" w:hAnsi="Arial" w:cs="Arial"/>
          <w:color w:val="000000" w:themeColor="text1"/>
          <w:sz w:val="20"/>
          <w:szCs w:val="20"/>
        </w:rPr>
      </w:pPr>
    </w:p>
    <w:p w14:paraId="0E1A07FD" w14:textId="17B135CD" w:rsidR="00997FBD" w:rsidRPr="00ED1038" w:rsidRDefault="00997FBD" w:rsidP="00997FBD">
      <w:pPr>
        <w:tabs>
          <w:tab w:val="left" w:pos="1134"/>
          <w:tab w:val="left" w:pos="2304"/>
          <w:tab w:val="left" w:pos="2880"/>
          <w:tab w:val="left" w:pos="8647"/>
        </w:tabs>
        <w:spacing w:after="0" w:line="240" w:lineRule="auto"/>
        <w:ind w:left="567" w:hanging="567"/>
        <w:jc w:val="both"/>
        <w:rPr>
          <w:rFonts w:ascii="Arial" w:eastAsia="Times New Roman" w:hAnsi="Arial" w:cs="Arial"/>
          <w:color w:val="000000" w:themeColor="text1"/>
          <w:sz w:val="20"/>
          <w:szCs w:val="20"/>
        </w:rPr>
      </w:pPr>
    </w:p>
    <w:p w14:paraId="0469B87E" w14:textId="77777777" w:rsidR="00997FBD" w:rsidRPr="00ED1038" w:rsidRDefault="00997FBD" w:rsidP="00CE41E7">
      <w:pPr>
        <w:tabs>
          <w:tab w:val="left" w:pos="1134"/>
          <w:tab w:val="left" w:pos="2304"/>
          <w:tab w:val="left" w:pos="2880"/>
          <w:tab w:val="left" w:pos="8647"/>
        </w:tabs>
        <w:spacing w:after="0" w:line="240" w:lineRule="auto"/>
        <w:ind w:left="720" w:hanging="720"/>
        <w:jc w:val="both"/>
        <w:rPr>
          <w:rFonts w:ascii="Arial" w:eastAsia="Times New Roman" w:hAnsi="Arial" w:cs="Arial"/>
          <w:color w:val="000000" w:themeColor="text1"/>
          <w:sz w:val="20"/>
          <w:szCs w:val="20"/>
        </w:rPr>
      </w:pPr>
    </w:p>
    <w:p w14:paraId="66B370AB" w14:textId="2383C482" w:rsidR="00A51DB1" w:rsidRPr="00ED1038" w:rsidRDefault="001B60DF" w:rsidP="00CE41E7">
      <w:pPr>
        <w:tabs>
          <w:tab w:val="left" w:pos="1134"/>
          <w:tab w:val="left" w:pos="2304"/>
          <w:tab w:val="left" w:pos="2880"/>
          <w:tab w:val="left" w:pos="8647"/>
        </w:tabs>
        <w:spacing w:after="0" w:line="240" w:lineRule="auto"/>
        <w:ind w:left="720" w:hanging="720"/>
        <w:jc w:val="both"/>
        <w:rPr>
          <w:rFonts w:ascii="Arial" w:eastAsia="Times New Roman" w:hAnsi="Arial" w:cs="Arial"/>
          <w:color w:val="000000" w:themeColor="text1"/>
          <w:sz w:val="20"/>
          <w:szCs w:val="20"/>
        </w:rPr>
      </w:pPr>
      <w:r w:rsidRPr="00ED1038">
        <w:rPr>
          <w:rFonts w:ascii="Arial" w:eastAsia="Times New Roman" w:hAnsi="Arial" w:cs="Arial"/>
          <w:color w:val="000000" w:themeColor="text1"/>
          <w:sz w:val="20"/>
          <w:szCs w:val="20"/>
        </w:rPr>
        <w:t>5</w:t>
      </w:r>
      <w:r w:rsidR="00F6227F" w:rsidRPr="00ED1038">
        <w:rPr>
          <w:rFonts w:ascii="Arial" w:eastAsia="Times New Roman" w:hAnsi="Arial" w:cs="Arial"/>
          <w:color w:val="000000" w:themeColor="text1"/>
          <w:sz w:val="20"/>
          <w:szCs w:val="20"/>
        </w:rPr>
        <w:t>.6</w:t>
      </w:r>
      <w:r w:rsidR="00C326F1" w:rsidRPr="00ED1038">
        <w:rPr>
          <w:rFonts w:ascii="Arial" w:eastAsia="Times New Roman" w:hAnsi="Arial" w:cs="Arial"/>
          <w:color w:val="000000" w:themeColor="text1"/>
          <w:sz w:val="20"/>
          <w:szCs w:val="20"/>
        </w:rPr>
        <w:tab/>
        <w:t xml:space="preserve">The Provisional </w:t>
      </w:r>
      <w:r w:rsidR="00F6227F" w:rsidRPr="00ED1038">
        <w:rPr>
          <w:rFonts w:ascii="Arial" w:eastAsia="Times New Roman" w:hAnsi="Arial" w:cs="Arial"/>
          <w:color w:val="000000" w:themeColor="text1"/>
          <w:sz w:val="20"/>
          <w:szCs w:val="20"/>
        </w:rPr>
        <w:t xml:space="preserve">Housing (HRA) </w:t>
      </w:r>
      <w:r w:rsidR="00C326F1" w:rsidRPr="00ED1038">
        <w:rPr>
          <w:rFonts w:ascii="Arial" w:eastAsia="Times New Roman" w:hAnsi="Arial" w:cs="Arial"/>
          <w:color w:val="000000" w:themeColor="text1"/>
          <w:sz w:val="20"/>
          <w:szCs w:val="20"/>
        </w:rPr>
        <w:t xml:space="preserve">Revenue Budget </w:t>
      </w:r>
      <w:r w:rsidR="004647BF" w:rsidRPr="00ED1038">
        <w:rPr>
          <w:rFonts w:ascii="Arial" w:eastAsia="Times New Roman" w:hAnsi="Arial" w:cs="Arial"/>
          <w:color w:val="000000" w:themeColor="text1"/>
          <w:sz w:val="20"/>
          <w:szCs w:val="20"/>
        </w:rPr>
        <w:t>20</w:t>
      </w:r>
      <w:r w:rsidR="00F6227F" w:rsidRPr="00ED1038">
        <w:rPr>
          <w:rFonts w:ascii="Arial" w:eastAsia="Times New Roman" w:hAnsi="Arial" w:cs="Arial"/>
          <w:color w:val="000000" w:themeColor="text1"/>
          <w:sz w:val="20"/>
          <w:szCs w:val="20"/>
        </w:rPr>
        <w:t>2</w:t>
      </w:r>
      <w:r w:rsidR="008D5BC3" w:rsidRPr="00ED1038">
        <w:rPr>
          <w:rFonts w:ascii="Arial" w:eastAsia="Times New Roman" w:hAnsi="Arial" w:cs="Arial"/>
          <w:color w:val="000000" w:themeColor="text1"/>
          <w:sz w:val="20"/>
          <w:szCs w:val="20"/>
        </w:rPr>
        <w:t>2</w:t>
      </w:r>
      <w:r w:rsidR="004647BF" w:rsidRPr="00ED1038">
        <w:rPr>
          <w:rFonts w:ascii="Arial" w:eastAsia="Times New Roman" w:hAnsi="Arial" w:cs="Arial"/>
          <w:color w:val="000000" w:themeColor="text1"/>
          <w:sz w:val="20"/>
          <w:szCs w:val="20"/>
        </w:rPr>
        <w:t>/</w:t>
      </w:r>
      <w:r w:rsidR="00A37254" w:rsidRPr="00ED1038">
        <w:rPr>
          <w:rFonts w:ascii="Arial" w:eastAsia="Times New Roman" w:hAnsi="Arial" w:cs="Arial"/>
          <w:color w:val="000000" w:themeColor="text1"/>
          <w:sz w:val="20"/>
          <w:szCs w:val="20"/>
        </w:rPr>
        <w:t>2</w:t>
      </w:r>
      <w:r w:rsidR="008D5BC3" w:rsidRPr="00ED1038">
        <w:rPr>
          <w:rFonts w:ascii="Arial" w:eastAsia="Times New Roman" w:hAnsi="Arial" w:cs="Arial"/>
          <w:color w:val="000000" w:themeColor="text1"/>
          <w:sz w:val="20"/>
          <w:szCs w:val="20"/>
        </w:rPr>
        <w:t>3</w:t>
      </w:r>
      <w:r w:rsidR="004647BF" w:rsidRPr="00ED1038">
        <w:rPr>
          <w:rFonts w:ascii="Arial" w:eastAsia="Times New Roman" w:hAnsi="Arial" w:cs="Arial"/>
          <w:color w:val="000000" w:themeColor="text1"/>
          <w:sz w:val="20"/>
          <w:szCs w:val="20"/>
        </w:rPr>
        <w:t xml:space="preserve"> </w:t>
      </w:r>
      <w:r w:rsidR="00C326F1" w:rsidRPr="00ED1038">
        <w:rPr>
          <w:rFonts w:ascii="Arial" w:eastAsia="Times New Roman" w:hAnsi="Arial" w:cs="Arial"/>
          <w:color w:val="000000" w:themeColor="text1"/>
          <w:sz w:val="20"/>
          <w:szCs w:val="20"/>
        </w:rPr>
        <w:t>detailed in Appendix 1 currently shows a deficit of £</w:t>
      </w:r>
      <w:r w:rsidR="002F17B9" w:rsidRPr="00ED1038">
        <w:rPr>
          <w:rFonts w:ascii="Arial" w:eastAsia="Times New Roman" w:hAnsi="Arial" w:cs="Arial"/>
          <w:color w:val="000000" w:themeColor="text1"/>
          <w:sz w:val="20"/>
          <w:szCs w:val="20"/>
        </w:rPr>
        <w:t>0.7</w:t>
      </w:r>
      <w:r w:rsidR="008D5BC3" w:rsidRPr="00ED1038">
        <w:rPr>
          <w:rFonts w:ascii="Arial" w:eastAsia="Times New Roman" w:hAnsi="Arial" w:cs="Arial"/>
          <w:color w:val="000000" w:themeColor="text1"/>
          <w:sz w:val="20"/>
          <w:szCs w:val="20"/>
        </w:rPr>
        <w:t>7</w:t>
      </w:r>
      <w:r w:rsidR="002F17B9" w:rsidRPr="00ED1038">
        <w:rPr>
          <w:rFonts w:ascii="Arial" w:eastAsia="Times New Roman" w:hAnsi="Arial" w:cs="Arial"/>
          <w:color w:val="000000" w:themeColor="text1"/>
          <w:sz w:val="20"/>
          <w:szCs w:val="20"/>
        </w:rPr>
        <w:t>0</w:t>
      </w:r>
      <w:r w:rsidR="00C326F1" w:rsidRPr="00ED1038">
        <w:rPr>
          <w:rFonts w:ascii="Arial" w:eastAsia="Times New Roman" w:hAnsi="Arial" w:cs="Arial"/>
          <w:color w:val="000000" w:themeColor="text1"/>
          <w:sz w:val="20"/>
          <w:szCs w:val="20"/>
        </w:rPr>
        <w:t xml:space="preserve">m.  This deficit would be removed by </w:t>
      </w:r>
      <w:r w:rsidR="004647BF" w:rsidRPr="00ED1038">
        <w:rPr>
          <w:rFonts w:ascii="Arial" w:eastAsia="Times New Roman" w:hAnsi="Arial" w:cs="Arial"/>
          <w:color w:val="000000" w:themeColor="text1"/>
          <w:sz w:val="20"/>
          <w:szCs w:val="20"/>
        </w:rPr>
        <w:t>app</w:t>
      </w:r>
      <w:r w:rsidR="00C326F1" w:rsidRPr="00ED1038">
        <w:rPr>
          <w:rFonts w:ascii="Arial" w:eastAsia="Times New Roman" w:hAnsi="Arial" w:cs="Arial"/>
          <w:color w:val="000000" w:themeColor="text1"/>
          <w:sz w:val="20"/>
          <w:szCs w:val="20"/>
        </w:rPr>
        <w:t xml:space="preserve">lying a rent increase of </w:t>
      </w:r>
      <w:r w:rsidR="002F17B9" w:rsidRPr="00ED1038">
        <w:rPr>
          <w:rFonts w:ascii="Arial" w:eastAsia="Times New Roman" w:hAnsi="Arial" w:cs="Arial"/>
          <w:color w:val="000000" w:themeColor="text1"/>
          <w:sz w:val="20"/>
          <w:szCs w:val="20"/>
        </w:rPr>
        <w:t>1.50%</w:t>
      </w:r>
      <w:r w:rsidR="004647BF" w:rsidRPr="00ED1038">
        <w:rPr>
          <w:rFonts w:ascii="Arial" w:eastAsia="Times New Roman" w:hAnsi="Arial" w:cs="Arial"/>
          <w:color w:val="000000" w:themeColor="text1"/>
          <w:sz w:val="20"/>
          <w:szCs w:val="20"/>
        </w:rPr>
        <w:t>.</w:t>
      </w:r>
      <w:r w:rsidR="00151EE1" w:rsidRPr="00ED1038">
        <w:rPr>
          <w:rFonts w:ascii="Arial" w:eastAsia="Times New Roman" w:hAnsi="Arial" w:cs="Arial"/>
          <w:color w:val="000000" w:themeColor="text1"/>
          <w:sz w:val="20"/>
          <w:szCs w:val="20"/>
        </w:rPr>
        <w:t xml:space="preserve">  </w:t>
      </w:r>
      <w:r w:rsidR="00C91C67" w:rsidRPr="00ED1038">
        <w:rPr>
          <w:rFonts w:ascii="Arial" w:eastAsia="Times New Roman" w:hAnsi="Arial" w:cs="Arial"/>
          <w:color w:val="000000" w:themeColor="text1"/>
          <w:sz w:val="20"/>
          <w:szCs w:val="20"/>
        </w:rPr>
        <w:t xml:space="preserve">As with previous years, it is proposed that council house tenants are </w:t>
      </w:r>
      <w:r w:rsidR="009A4885" w:rsidRPr="00ED1038">
        <w:rPr>
          <w:rFonts w:ascii="Arial" w:eastAsia="Times New Roman" w:hAnsi="Arial" w:cs="Arial"/>
          <w:color w:val="000000" w:themeColor="text1"/>
          <w:sz w:val="20"/>
          <w:szCs w:val="20"/>
        </w:rPr>
        <w:t xml:space="preserve">given the opportunity to </w:t>
      </w:r>
      <w:r w:rsidR="00791C3B" w:rsidRPr="00ED1038">
        <w:rPr>
          <w:rFonts w:ascii="Arial" w:eastAsia="Times New Roman" w:hAnsi="Arial" w:cs="Arial"/>
          <w:color w:val="000000" w:themeColor="text1"/>
          <w:sz w:val="20"/>
          <w:szCs w:val="20"/>
        </w:rPr>
        <w:t>indicate</w:t>
      </w:r>
      <w:r w:rsidR="009A4885" w:rsidRPr="00ED1038">
        <w:rPr>
          <w:rFonts w:ascii="Arial" w:eastAsia="Times New Roman" w:hAnsi="Arial" w:cs="Arial"/>
          <w:color w:val="000000" w:themeColor="text1"/>
          <w:sz w:val="20"/>
          <w:szCs w:val="20"/>
        </w:rPr>
        <w:t xml:space="preserve"> </w:t>
      </w:r>
      <w:r w:rsidR="00791C3B" w:rsidRPr="00ED1038">
        <w:rPr>
          <w:rFonts w:ascii="Arial" w:eastAsia="Times New Roman" w:hAnsi="Arial" w:cs="Arial"/>
          <w:color w:val="000000" w:themeColor="text1"/>
          <w:sz w:val="20"/>
          <w:szCs w:val="20"/>
        </w:rPr>
        <w:t>their</w:t>
      </w:r>
      <w:r w:rsidR="009A4885" w:rsidRPr="00ED1038">
        <w:rPr>
          <w:rFonts w:ascii="Arial" w:eastAsia="Times New Roman" w:hAnsi="Arial" w:cs="Arial"/>
          <w:color w:val="000000" w:themeColor="text1"/>
          <w:sz w:val="20"/>
          <w:szCs w:val="20"/>
        </w:rPr>
        <w:t xml:space="preserve"> preference on </w:t>
      </w:r>
      <w:r w:rsidR="00D9777B" w:rsidRPr="00ED1038">
        <w:rPr>
          <w:rFonts w:ascii="Arial" w:eastAsia="Times New Roman" w:hAnsi="Arial" w:cs="Arial"/>
          <w:color w:val="000000" w:themeColor="text1"/>
          <w:sz w:val="20"/>
          <w:szCs w:val="20"/>
        </w:rPr>
        <w:t>other</w:t>
      </w:r>
      <w:r w:rsidR="009A4885" w:rsidRPr="00ED1038">
        <w:rPr>
          <w:rFonts w:ascii="Arial" w:eastAsia="Times New Roman" w:hAnsi="Arial" w:cs="Arial"/>
          <w:color w:val="000000" w:themeColor="text1"/>
          <w:sz w:val="20"/>
          <w:szCs w:val="20"/>
        </w:rPr>
        <w:t xml:space="preserve"> rent increase</w:t>
      </w:r>
      <w:r w:rsidR="00791C3B" w:rsidRPr="00ED1038">
        <w:rPr>
          <w:rFonts w:ascii="Arial" w:eastAsia="Times New Roman" w:hAnsi="Arial" w:cs="Arial"/>
          <w:color w:val="000000" w:themeColor="text1"/>
          <w:sz w:val="20"/>
          <w:szCs w:val="20"/>
        </w:rPr>
        <w:t xml:space="preserve"> option</w:t>
      </w:r>
      <w:r w:rsidR="009A4885" w:rsidRPr="00ED1038">
        <w:rPr>
          <w:rFonts w:ascii="Arial" w:eastAsia="Times New Roman" w:hAnsi="Arial" w:cs="Arial"/>
          <w:color w:val="000000" w:themeColor="text1"/>
          <w:sz w:val="20"/>
          <w:szCs w:val="20"/>
        </w:rPr>
        <w:t xml:space="preserve">s that would provide for additional </w:t>
      </w:r>
      <w:r w:rsidR="00791C3B" w:rsidRPr="00ED1038">
        <w:rPr>
          <w:rFonts w:ascii="Arial" w:eastAsia="Times New Roman" w:hAnsi="Arial" w:cs="Arial"/>
          <w:color w:val="000000" w:themeColor="text1"/>
          <w:sz w:val="20"/>
          <w:szCs w:val="20"/>
        </w:rPr>
        <w:t>expenditure</w:t>
      </w:r>
      <w:r w:rsidR="009A4885" w:rsidRPr="00ED1038">
        <w:rPr>
          <w:rFonts w:ascii="Arial" w:eastAsia="Times New Roman" w:hAnsi="Arial" w:cs="Arial"/>
          <w:color w:val="000000" w:themeColor="text1"/>
          <w:sz w:val="20"/>
          <w:szCs w:val="20"/>
        </w:rPr>
        <w:t xml:space="preserve"> in key priority areas in exchange for a greater rent increase.  </w:t>
      </w:r>
      <w:r w:rsidR="008222C5" w:rsidRPr="00ED1038">
        <w:rPr>
          <w:rFonts w:ascii="Arial" w:eastAsia="Times New Roman" w:hAnsi="Arial" w:cs="Arial"/>
          <w:color w:val="000000" w:themeColor="text1"/>
          <w:sz w:val="20"/>
          <w:szCs w:val="20"/>
        </w:rPr>
        <w:t xml:space="preserve">The available options are </w:t>
      </w:r>
      <w:r w:rsidR="00FA2347" w:rsidRPr="00ED1038">
        <w:rPr>
          <w:rFonts w:ascii="Arial" w:eastAsia="Times New Roman" w:hAnsi="Arial" w:cs="Arial"/>
          <w:color w:val="000000" w:themeColor="text1"/>
          <w:sz w:val="20"/>
          <w:szCs w:val="20"/>
        </w:rPr>
        <w:t>summarised below and further details including the</w:t>
      </w:r>
      <w:r w:rsidR="00D1742A" w:rsidRPr="00ED1038">
        <w:rPr>
          <w:rFonts w:ascii="Arial" w:eastAsia="Times New Roman" w:hAnsi="Arial" w:cs="Arial"/>
          <w:color w:val="000000" w:themeColor="text1"/>
          <w:sz w:val="20"/>
          <w:szCs w:val="20"/>
        </w:rPr>
        <w:t xml:space="preserve"> specific</w:t>
      </w:r>
      <w:r w:rsidR="00FA2347" w:rsidRPr="00ED1038">
        <w:rPr>
          <w:rFonts w:ascii="Arial" w:eastAsia="Times New Roman" w:hAnsi="Arial" w:cs="Arial"/>
          <w:color w:val="000000" w:themeColor="text1"/>
          <w:sz w:val="20"/>
          <w:szCs w:val="20"/>
        </w:rPr>
        <w:t xml:space="preserve"> impact on service delivery are provided in Appendix 3.  </w:t>
      </w:r>
    </w:p>
    <w:p w14:paraId="01139595" w14:textId="77777777" w:rsidR="008222C5" w:rsidRPr="00ED1038" w:rsidRDefault="008222C5" w:rsidP="00C27DC7">
      <w:pPr>
        <w:tabs>
          <w:tab w:val="left" w:pos="1134"/>
          <w:tab w:val="left" w:pos="2304"/>
          <w:tab w:val="left" w:pos="2880"/>
          <w:tab w:val="left" w:pos="8647"/>
        </w:tabs>
        <w:spacing w:after="0" w:line="240" w:lineRule="auto"/>
        <w:ind w:left="567" w:hanging="567"/>
        <w:jc w:val="both"/>
        <w:rPr>
          <w:rFonts w:ascii="Arial" w:eastAsia="Times New Roman" w:hAnsi="Arial" w:cs="Arial"/>
          <w:sz w:val="20"/>
          <w:szCs w:val="20"/>
        </w:rPr>
      </w:pPr>
      <w:r w:rsidRPr="00ED1038">
        <w:rPr>
          <w:rFonts w:ascii="Arial" w:eastAsia="Times New Roman" w:hAnsi="Arial" w:cs="Arial"/>
          <w:color w:val="FF0000"/>
          <w:sz w:val="20"/>
          <w:szCs w:val="20"/>
        </w:rPr>
        <w:tab/>
      </w:r>
    </w:p>
    <w:tbl>
      <w:tblPr>
        <w:tblStyle w:val="TableGrid"/>
        <w:tblW w:w="0" w:type="auto"/>
        <w:tblInd w:w="715" w:type="dxa"/>
        <w:tblLook w:val="04A0" w:firstRow="1" w:lastRow="0" w:firstColumn="1" w:lastColumn="0" w:noHBand="0" w:noVBand="1"/>
      </w:tblPr>
      <w:tblGrid>
        <w:gridCol w:w="1946"/>
        <w:gridCol w:w="2114"/>
        <w:gridCol w:w="2114"/>
        <w:gridCol w:w="2127"/>
      </w:tblGrid>
      <w:tr w:rsidR="00A35FB3" w:rsidRPr="00ED1038" w14:paraId="52560D91" w14:textId="77777777" w:rsidTr="00CE41E7">
        <w:tc>
          <w:tcPr>
            <w:tcW w:w="1946" w:type="dxa"/>
            <w:vAlign w:val="center"/>
          </w:tcPr>
          <w:p w14:paraId="675E1FB0" w14:textId="77777777" w:rsidR="008222C5" w:rsidRPr="00ED1038" w:rsidRDefault="008222C5" w:rsidP="00C27DC7">
            <w:pPr>
              <w:tabs>
                <w:tab w:val="left" w:pos="1134"/>
                <w:tab w:val="left" w:pos="2304"/>
                <w:tab w:val="left" w:pos="2880"/>
                <w:tab w:val="left" w:pos="8647"/>
              </w:tabs>
              <w:spacing w:after="0" w:line="240" w:lineRule="auto"/>
              <w:jc w:val="both"/>
              <w:rPr>
                <w:rFonts w:ascii="Arial" w:eastAsia="Times New Roman" w:hAnsi="Arial" w:cs="Arial"/>
                <w:b/>
                <w:color w:val="000000" w:themeColor="text1"/>
                <w:sz w:val="20"/>
                <w:szCs w:val="20"/>
              </w:rPr>
            </w:pPr>
            <w:r w:rsidRPr="00ED1038">
              <w:rPr>
                <w:rFonts w:ascii="Arial" w:eastAsia="Times New Roman" w:hAnsi="Arial" w:cs="Arial"/>
                <w:b/>
                <w:color w:val="000000" w:themeColor="text1"/>
                <w:sz w:val="20"/>
                <w:szCs w:val="20"/>
              </w:rPr>
              <w:t>Option</w:t>
            </w:r>
          </w:p>
        </w:tc>
        <w:tc>
          <w:tcPr>
            <w:tcW w:w="2114" w:type="dxa"/>
            <w:vAlign w:val="center"/>
          </w:tcPr>
          <w:p w14:paraId="20F28360" w14:textId="77777777" w:rsidR="008222C5" w:rsidRPr="00ED1038" w:rsidRDefault="008222C5" w:rsidP="00C27DC7">
            <w:pPr>
              <w:tabs>
                <w:tab w:val="left" w:pos="1134"/>
                <w:tab w:val="left" w:pos="2304"/>
                <w:tab w:val="left" w:pos="2880"/>
                <w:tab w:val="left" w:pos="8647"/>
              </w:tabs>
              <w:spacing w:after="0" w:line="240" w:lineRule="auto"/>
              <w:jc w:val="both"/>
              <w:rPr>
                <w:rFonts w:ascii="Arial" w:eastAsia="Times New Roman" w:hAnsi="Arial" w:cs="Arial"/>
                <w:b/>
                <w:color w:val="000000" w:themeColor="text1"/>
                <w:sz w:val="20"/>
                <w:szCs w:val="20"/>
              </w:rPr>
            </w:pPr>
            <w:r w:rsidRPr="00ED1038">
              <w:rPr>
                <w:rFonts w:ascii="Arial" w:eastAsia="Times New Roman" w:hAnsi="Arial" w:cs="Arial"/>
                <w:b/>
                <w:color w:val="000000" w:themeColor="text1"/>
                <w:sz w:val="20"/>
                <w:szCs w:val="20"/>
              </w:rPr>
              <w:t xml:space="preserve">Increase </w:t>
            </w:r>
          </w:p>
          <w:p w14:paraId="12A6B00D" w14:textId="77777777" w:rsidR="008222C5" w:rsidRPr="00ED1038" w:rsidRDefault="008222C5" w:rsidP="00C27DC7">
            <w:pPr>
              <w:tabs>
                <w:tab w:val="left" w:pos="1134"/>
                <w:tab w:val="left" w:pos="2304"/>
                <w:tab w:val="left" w:pos="2880"/>
                <w:tab w:val="left" w:pos="8647"/>
              </w:tabs>
              <w:spacing w:after="0" w:line="240" w:lineRule="auto"/>
              <w:jc w:val="both"/>
              <w:rPr>
                <w:rFonts w:ascii="Arial" w:eastAsia="Times New Roman" w:hAnsi="Arial" w:cs="Arial"/>
                <w:b/>
                <w:color w:val="000000" w:themeColor="text1"/>
                <w:sz w:val="20"/>
                <w:szCs w:val="20"/>
              </w:rPr>
            </w:pPr>
            <w:r w:rsidRPr="00ED1038">
              <w:rPr>
                <w:rFonts w:ascii="Arial" w:eastAsia="Times New Roman" w:hAnsi="Arial" w:cs="Arial"/>
                <w:b/>
                <w:color w:val="000000" w:themeColor="text1"/>
                <w:sz w:val="20"/>
                <w:szCs w:val="20"/>
              </w:rPr>
              <w:t>(%)</w:t>
            </w:r>
          </w:p>
        </w:tc>
        <w:tc>
          <w:tcPr>
            <w:tcW w:w="2114" w:type="dxa"/>
            <w:vAlign w:val="center"/>
          </w:tcPr>
          <w:p w14:paraId="1FBCA2B7" w14:textId="77777777" w:rsidR="008222C5" w:rsidRPr="00ED1038" w:rsidRDefault="008222C5" w:rsidP="00C27DC7">
            <w:pPr>
              <w:tabs>
                <w:tab w:val="left" w:pos="1134"/>
                <w:tab w:val="left" w:pos="2304"/>
                <w:tab w:val="left" w:pos="2880"/>
                <w:tab w:val="left" w:pos="8647"/>
              </w:tabs>
              <w:spacing w:after="0" w:line="240" w:lineRule="auto"/>
              <w:jc w:val="both"/>
              <w:rPr>
                <w:rFonts w:ascii="Arial" w:eastAsia="Times New Roman" w:hAnsi="Arial" w:cs="Arial"/>
                <w:b/>
                <w:color w:val="000000" w:themeColor="text1"/>
                <w:sz w:val="20"/>
                <w:szCs w:val="20"/>
              </w:rPr>
            </w:pPr>
            <w:r w:rsidRPr="00ED1038">
              <w:rPr>
                <w:rFonts w:ascii="Arial" w:eastAsia="Times New Roman" w:hAnsi="Arial" w:cs="Arial"/>
                <w:b/>
                <w:color w:val="000000" w:themeColor="text1"/>
                <w:sz w:val="20"/>
                <w:szCs w:val="20"/>
              </w:rPr>
              <w:t>Average</w:t>
            </w:r>
          </w:p>
          <w:p w14:paraId="22BAFE9B" w14:textId="77777777" w:rsidR="008222C5" w:rsidRPr="00ED1038" w:rsidRDefault="008222C5" w:rsidP="00C27DC7">
            <w:pPr>
              <w:tabs>
                <w:tab w:val="left" w:pos="1134"/>
                <w:tab w:val="left" w:pos="2304"/>
                <w:tab w:val="left" w:pos="2880"/>
                <w:tab w:val="left" w:pos="8647"/>
              </w:tabs>
              <w:spacing w:after="0" w:line="240" w:lineRule="auto"/>
              <w:jc w:val="both"/>
              <w:rPr>
                <w:rFonts w:ascii="Arial" w:eastAsia="Times New Roman" w:hAnsi="Arial" w:cs="Arial"/>
                <w:b/>
                <w:color w:val="000000" w:themeColor="text1"/>
                <w:sz w:val="20"/>
                <w:szCs w:val="20"/>
              </w:rPr>
            </w:pPr>
            <w:r w:rsidRPr="00ED1038">
              <w:rPr>
                <w:rFonts w:ascii="Arial" w:eastAsia="Times New Roman" w:hAnsi="Arial" w:cs="Arial"/>
                <w:b/>
                <w:color w:val="000000" w:themeColor="text1"/>
                <w:sz w:val="20"/>
                <w:szCs w:val="20"/>
              </w:rPr>
              <w:t>Weekly</w:t>
            </w:r>
          </w:p>
          <w:p w14:paraId="7AC635A7" w14:textId="77777777" w:rsidR="008222C5" w:rsidRPr="00ED1038" w:rsidRDefault="008222C5" w:rsidP="00C27DC7">
            <w:pPr>
              <w:tabs>
                <w:tab w:val="left" w:pos="1134"/>
                <w:tab w:val="left" w:pos="2304"/>
                <w:tab w:val="left" w:pos="2880"/>
                <w:tab w:val="left" w:pos="8647"/>
              </w:tabs>
              <w:spacing w:after="0" w:line="240" w:lineRule="auto"/>
              <w:jc w:val="both"/>
              <w:rPr>
                <w:rFonts w:ascii="Arial" w:eastAsia="Times New Roman" w:hAnsi="Arial" w:cs="Arial"/>
                <w:b/>
                <w:color w:val="000000" w:themeColor="text1"/>
                <w:sz w:val="20"/>
                <w:szCs w:val="20"/>
              </w:rPr>
            </w:pPr>
            <w:r w:rsidRPr="00ED1038">
              <w:rPr>
                <w:rFonts w:ascii="Arial" w:eastAsia="Times New Roman" w:hAnsi="Arial" w:cs="Arial"/>
                <w:b/>
                <w:color w:val="000000" w:themeColor="text1"/>
                <w:sz w:val="20"/>
                <w:szCs w:val="20"/>
              </w:rPr>
              <w:t xml:space="preserve">Increase </w:t>
            </w:r>
          </w:p>
          <w:p w14:paraId="21055476" w14:textId="77777777" w:rsidR="008222C5" w:rsidRPr="00ED1038" w:rsidRDefault="008222C5" w:rsidP="00C27DC7">
            <w:pPr>
              <w:tabs>
                <w:tab w:val="left" w:pos="1134"/>
                <w:tab w:val="left" w:pos="2304"/>
                <w:tab w:val="left" w:pos="2880"/>
                <w:tab w:val="left" w:pos="8647"/>
              </w:tabs>
              <w:spacing w:after="0" w:line="240" w:lineRule="auto"/>
              <w:jc w:val="both"/>
              <w:rPr>
                <w:rFonts w:ascii="Arial" w:eastAsia="Times New Roman" w:hAnsi="Arial" w:cs="Arial"/>
                <w:b/>
                <w:color w:val="000000" w:themeColor="text1"/>
                <w:sz w:val="20"/>
                <w:szCs w:val="20"/>
              </w:rPr>
            </w:pPr>
          </w:p>
        </w:tc>
        <w:tc>
          <w:tcPr>
            <w:tcW w:w="2127" w:type="dxa"/>
            <w:vAlign w:val="center"/>
          </w:tcPr>
          <w:p w14:paraId="6485F208" w14:textId="77777777" w:rsidR="008222C5" w:rsidRPr="00ED1038" w:rsidRDefault="008222C5" w:rsidP="00C27DC7">
            <w:pPr>
              <w:tabs>
                <w:tab w:val="left" w:pos="1134"/>
                <w:tab w:val="left" w:pos="2304"/>
                <w:tab w:val="left" w:pos="2880"/>
                <w:tab w:val="left" w:pos="8647"/>
              </w:tabs>
              <w:spacing w:after="0" w:line="240" w:lineRule="auto"/>
              <w:jc w:val="both"/>
              <w:rPr>
                <w:rFonts w:ascii="Arial" w:eastAsia="Times New Roman" w:hAnsi="Arial" w:cs="Arial"/>
                <w:b/>
                <w:color w:val="000000" w:themeColor="text1"/>
                <w:sz w:val="20"/>
                <w:szCs w:val="20"/>
              </w:rPr>
            </w:pPr>
            <w:r w:rsidRPr="00ED1038">
              <w:rPr>
                <w:rFonts w:ascii="Arial" w:eastAsia="Times New Roman" w:hAnsi="Arial" w:cs="Arial"/>
                <w:b/>
                <w:color w:val="000000" w:themeColor="text1"/>
                <w:sz w:val="20"/>
                <w:szCs w:val="20"/>
              </w:rPr>
              <w:t>Maximum</w:t>
            </w:r>
          </w:p>
          <w:p w14:paraId="01A2FB78" w14:textId="77777777" w:rsidR="008222C5" w:rsidRPr="00ED1038" w:rsidRDefault="008222C5" w:rsidP="00C27DC7">
            <w:pPr>
              <w:tabs>
                <w:tab w:val="left" w:pos="1134"/>
                <w:tab w:val="left" w:pos="2304"/>
                <w:tab w:val="left" w:pos="2880"/>
                <w:tab w:val="left" w:pos="8647"/>
              </w:tabs>
              <w:spacing w:after="0" w:line="240" w:lineRule="auto"/>
              <w:jc w:val="both"/>
              <w:rPr>
                <w:rFonts w:ascii="Arial" w:eastAsia="Times New Roman" w:hAnsi="Arial" w:cs="Arial"/>
                <w:b/>
                <w:color w:val="000000" w:themeColor="text1"/>
                <w:sz w:val="20"/>
                <w:szCs w:val="20"/>
              </w:rPr>
            </w:pPr>
            <w:r w:rsidRPr="00ED1038">
              <w:rPr>
                <w:rFonts w:ascii="Arial" w:eastAsia="Times New Roman" w:hAnsi="Arial" w:cs="Arial"/>
                <w:b/>
                <w:color w:val="000000" w:themeColor="text1"/>
                <w:sz w:val="20"/>
                <w:szCs w:val="20"/>
              </w:rPr>
              <w:t>Weekly</w:t>
            </w:r>
          </w:p>
          <w:p w14:paraId="6495E6E9" w14:textId="77777777" w:rsidR="008222C5" w:rsidRPr="00ED1038" w:rsidRDefault="008222C5" w:rsidP="00C27DC7">
            <w:pPr>
              <w:tabs>
                <w:tab w:val="left" w:pos="1134"/>
                <w:tab w:val="left" w:pos="2304"/>
                <w:tab w:val="left" w:pos="2880"/>
                <w:tab w:val="left" w:pos="8647"/>
              </w:tabs>
              <w:spacing w:after="0" w:line="240" w:lineRule="auto"/>
              <w:jc w:val="both"/>
              <w:rPr>
                <w:rFonts w:ascii="Arial" w:eastAsia="Times New Roman" w:hAnsi="Arial" w:cs="Arial"/>
                <w:b/>
                <w:color w:val="000000" w:themeColor="text1"/>
                <w:sz w:val="20"/>
                <w:szCs w:val="20"/>
              </w:rPr>
            </w:pPr>
            <w:r w:rsidRPr="00ED1038">
              <w:rPr>
                <w:rFonts w:ascii="Arial" w:eastAsia="Times New Roman" w:hAnsi="Arial" w:cs="Arial"/>
                <w:b/>
                <w:color w:val="000000" w:themeColor="text1"/>
                <w:sz w:val="20"/>
                <w:szCs w:val="20"/>
              </w:rPr>
              <w:t xml:space="preserve">Increase </w:t>
            </w:r>
          </w:p>
          <w:p w14:paraId="65C85AF3" w14:textId="77777777" w:rsidR="008222C5" w:rsidRPr="00ED1038" w:rsidRDefault="008222C5" w:rsidP="00C27DC7">
            <w:pPr>
              <w:tabs>
                <w:tab w:val="left" w:pos="1134"/>
                <w:tab w:val="left" w:pos="2304"/>
                <w:tab w:val="left" w:pos="2880"/>
                <w:tab w:val="left" w:pos="8647"/>
              </w:tabs>
              <w:spacing w:after="0" w:line="240" w:lineRule="auto"/>
              <w:jc w:val="both"/>
              <w:rPr>
                <w:rFonts w:ascii="Arial" w:eastAsia="Times New Roman" w:hAnsi="Arial" w:cs="Arial"/>
                <w:b/>
                <w:color w:val="000000" w:themeColor="text1"/>
                <w:sz w:val="20"/>
                <w:szCs w:val="20"/>
              </w:rPr>
            </w:pPr>
          </w:p>
        </w:tc>
      </w:tr>
      <w:tr w:rsidR="005A561E" w:rsidRPr="00ED1038" w14:paraId="231D845E" w14:textId="77777777" w:rsidTr="00CE41E7">
        <w:tc>
          <w:tcPr>
            <w:tcW w:w="1946" w:type="dxa"/>
          </w:tcPr>
          <w:p w14:paraId="4A536617" w14:textId="77777777" w:rsidR="005A561E" w:rsidRPr="00ED1038" w:rsidRDefault="005A561E" w:rsidP="00C27DC7">
            <w:pPr>
              <w:tabs>
                <w:tab w:val="left" w:pos="1134"/>
                <w:tab w:val="left" w:pos="2304"/>
                <w:tab w:val="left" w:pos="2880"/>
                <w:tab w:val="left" w:pos="8647"/>
              </w:tabs>
              <w:spacing w:after="0" w:line="240" w:lineRule="auto"/>
              <w:jc w:val="both"/>
              <w:rPr>
                <w:rFonts w:ascii="Arial" w:eastAsia="Times New Roman" w:hAnsi="Arial" w:cs="Arial"/>
                <w:color w:val="000000" w:themeColor="text1"/>
                <w:sz w:val="20"/>
                <w:szCs w:val="20"/>
              </w:rPr>
            </w:pPr>
            <w:r w:rsidRPr="00ED1038">
              <w:rPr>
                <w:rFonts w:ascii="Arial" w:eastAsia="Times New Roman" w:hAnsi="Arial" w:cs="Arial"/>
                <w:color w:val="000000" w:themeColor="text1"/>
                <w:sz w:val="20"/>
                <w:szCs w:val="20"/>
              </w:rPr>
              <w:t>1</w:t>
            </w:r>
          </w:p>
        </w:tc>
        <w:tc>
          <w:tcPr>
            <w:tcW w:w="2114" w:type="dxa"/>
          </w:tcPr>
          <w:p w14:paraId="7C806834" w14:textId="77777777" w:rsidR="005A561E" w:rsidRPr="00ED1038" w:rsidRDefault="002F17B9" w:rsidP="00C27DC7">
            <w:pPr>
              <w:tabs>
                <w:tab w:val="left" w:pos="1134"/>
                <w:tab w:val="left" w:pos="2304"/>
                <w:tab w:val="left" w:pos="2880"/>
                <w:tab w:val="left" w:pos="8647"/>
              </w:tabs>
              <w:spacing w:after="0" w:line="240" w:lineRule="auto"/>
              <w:jc w:val="both"/>
              <w:rPr>
                <w:rFonts w:ascii="Arial" w:eastAsia="Times New Roman" w:hAnsi="Arial" w:cs="Arial"/>
                <w:color w:val="000000" w:themeColor="text1"/>
                <w:sz w:val="20"/>
                <w:szCs w:val="20"/>
              </w:rPr>
            </w:pPr>
            <w:r w:rsidRPr="00ED1038">
              <w:rPr>
                <w:rFonts w:ascii="Arial" w:eastAsia="Times New Roman" w:hAnsi="Arial" w:cs="Arial"/>
                <w:color w:val="000000" w:themeColor="text1"/>
                <w:sz w:val="20"/>
                <w:szCs w:val="20"/>
              </w:rPr>
              <w:t>1.5</w:t>
            </w:r>
            <w:r w:rsidR="005A561E" w:rsidRPr="00ED1038">
              <w:rPr>
                <w:rFonts w:ascii="Arial" w:eastAsia="Times New Roman" w:hAnsi="Arial" w:cs="Arial"/>
                <w:color w:val="000000" w:themeColor="text1"/>
                <w:sz w:val="20"/>
                <w:szCs w:val="20"/>
              </w:rPr>
              <w:t>0</w:t>
            </w:r>
          </w:p>
        </w:tc>
        <w:tc>
          <w:tcPr>
            <w:tcW w:w="2114" w:type="dxa"/>
          </w:tcPr>
          <w:p w14:paraId="652A89A6" w14:textId="77777777" w:rsidR="005A561E" w:rsidRPr="00ED1038" w:rsidRDefault="005A561E" w:rsidP="00C27DC7">
            <w:pPr>
              <w:tabs>
                <w:tab w:val="left" w:pos="1134"/>
                <w:tab w:val="left" w:pos="2304"/>
                <w:tab w:val="left" w:pos="2880"/>
                <w:tab w:val="left" w:pos="8647"/>
              </w:tabs>
              <w:spacing w:after="0" w:line="240" w:lineRule="auto"/>
              <w:jc w:val="both"/>
              <w:rPr>
                <w:rFonts w:ascii="Arial" w:eastAsia="Times New Roman" w:hAnsi="Arial" w:cs="Arial"/>
                <w:color w:val="000000" w:themeColor="text1"/>
                <w:sz w:val="20"/>
                <w:szCs w:val="20"/>
              </w:rPr>
            </w:pPr>
            <w:r w:rsidRPr="00ED1038">
              <w:rPr>
                <w:rFonts w:ascii="Arial" w:eastAsia="Times New Roman" w:hAnsi="Arial" w:cs="Arial"/>
                <w:color w:val="000000" w:themeColor="text1"/>
                <w:sz w:val="20"/>
                <w:szCs w:val="20"/>
              </w:rPr>
              <w:t>£</w:t>
            </w:r>
            <w:r w:rsidR="00581A4F" w:rsidRPr="00ED1038">
              <w:rPr>
                <w:rFonts w:ascii="Arial" w:eastAsia="Times New Roman" w:hAnsi="Arial" w:cs="Arial"/>
                <w:color w:val="000000" w:themeColor="text1"/>
                <w:sz w:val="20"/>
                <w:szCs w:val="20"/>
              </w:rPr>
              <w:t>1.1</w:t>
            </w:r>
            <w:r w:rsidR="00EF0BDD" w:rsidRPr="00ED1038">
              <w:rPr>
                <w:rFonts w:ascii="Arial" w:eastAsia="Times New Roman" w:hAnsi="Arial" w:cs="Arial"/>
                <w:color w:val="000000" w:themeColor="text1"/>
                <w:sz w:val="20"/>
                <w:szCs w:val="20"/>
              </w:rPr>
              <w:t>9</w:t>
            </w:r>
          </w:p>
        </w:tc>
        <w:tc>
          <w:tcPr>
            <w:tcW w:w="2127" w:type="dxa"/>
          </w:tcPr>
          <w:p w14:paraId="2BEFA1C3" w14:textId="77777777" w:rsidR="005A561E" w:rsidRPr="00ED1038" w:rsidRDefault="005A561E" w:rsidP="00C27DC7">
            <w:pPr>
              <w:tabs>
                <w:tab w:val="left" w:pos="1134"/>
                <w:tab w:val="left" w:pos="2304"/>
                <w:tab w:val="left" w:pos="2880"/>
                <w:tab w:val="left" w:pos="8647"/>
              </w:tabs>
              <w:spacing w:after="0" w:line="240" w:lineRule="auto"/>
              <w:jc w:val="both"/>
              <w:rPr>
                <w:rFonts w:ascii="Arial" w:eastAsia="Times New Roman" w:hAnsi="Arial" w:cs="Arial"/>
                <w:color w:val="000000" w:themeColor="text1"/>
                <w:sz w:val="20"/>
                <w:szCs w:val="20"/>
              </w:rPr>
            </w:pPr>
            <w:r w:rsidRPr="00ED1038">
              <w:rPr>
                <w:rFonts w:ascii="Arial" w:eastAsia="Times New Roman" w:hAnsi="Arial" w:cs="Arial"/>
                <w:color w:val="000000" w:themeColor="text1"/>
                <w:sz w:val="20"/>
                <w:szCs w:val="20"/>
              </w:rPr>
              <w:t>£</w:t>
            </w:r>
            <w:r w:rsidR="009012A3" w:rsidRPr="00ED1038">
              <w:rPr>
                <w:rFonts w:ascii="Arial" w:eastAsia="Times New Roman" w:hAnsi="Arial" w:cs="Arial"/>
                <w:color w:val="000000" w:themeColor="text1"/>
                <w:sz w:val="20"/>
                <w:szCs w:val="20"/>
              </w:rPr>
              <w:t>1.50</w:t>
            </w:r>
          </w:p>
        </w:tc>
      </w:tr>
      <w:tr w:rsidR="005A561E" w:rsidRPr="00ED1038" w14:paraId="37304A38" w14:textId="77777777" w:rsidTr="00CE41E7">
        <w:tc>
          <w:tcPr>
            <w:tcW w:w="1946" w:type="dxa"/>
          </w:tcPr>
          <w:p w14:paraId="3E6BCB69" w14:textId="77777777" w:rsidR="005A561E" w:rsidRPr="00ED1038" w:rsidRDefault="005A561E" w:rsidP="00C27DC7">
            <w:pPr>
              <w:tabs>
                <w:tab w:val="left" w:pos="1134"/>
                <w:tab w:val="left" w:pos="2304"/>
                <w:tab w:val="left" w:pos="2880"/>
                <w:tab w:val="left" w:pos="8647"/>
              </w:tabs>
              <w:spacing w:after="0" w:line="240" w:lineRule="auto"/>
              <w:jc w:val="both"/>
              <w:rPr>
                <w:rFonts w:ascii="Arial" w:eastAsia="Times New Roman" w:hAnsi="Arial" w:cs="Arial"/>
                <w:color w:val="000000" w:themeColor="text1"/>
                <w:sz w:val="20"/>
                <w:szCs w:val="20"/>
              </w:rPr>
            </w:pPr>
            <w:r w:rsidRPr="00ED1038">
              <w:rPr>
                <w:rFonts w:ascii="Arial" w:eastAsia="Times New Roman" w:hAnsi="Arial" w:cs="Arial"/>
                <w:color w:val="000000" w:themeColor="text1"/>
                <w:sz w:val="20"/>
                <w:szCs w:val="20"/>
              </w:rPr>
              <w:t>2</w:t>
            </w:r>
          </w:p>
        </w:tc>
        <w:tc>
          <w:tcPr>
            <w:tcW w:w="2114" w:type="dxa"/>
          </w:tcPr>
          <w:p w14:paraId="48675D00" w14:textId="77777777" w:rsidR="005A561E" w:rsidRPr="00ED1038" w:rsidRDefault="002F17B9" w:rsidP="00C27DC7">
            <w:pPr>
              <w:tabs>
                <w:tab w:val="left" w:pos="1134"/>
                <w:tab w:val="left" w:pos="2304"/>
                <w:tab w:val="left" w:pos="2880"/>
                <w:tab w:val="left" w:pos="8647"/>
              </w:tabs>
              <w:spacing w:after="0" w:line="240" w:lineRule="auto"/>
              <w:jc w:val="both"/>
              <w:rPr>
                <w:rFonts w:ascii="Arial" w:eastAsia="Times New Roman" w:hAnsi="Arial" w:cs="Arial"/>
                <w:color w:val="000000" w:themeColor="text1"/>
                <w:sz w:val="20"/>
                <w:szCs w:val="20"/>
              </w:rPr>
            </w:pPr>
            <w:r w:rsidRPr="00ED1038">
              <w:rPr>
                <w:rFonts w:ascii="Arial" w:eastAsia="Times New Roman" w:hAnsi="Arial" w:cs="Arial"/>
                <w:color w:val="000000" w:themeColor="text1"/>
                <w:sz w:val="20"/>
                <w:szCs w:val="20"/>
              </w:rPr>
              <w:t>1.75</w:t>
            </w:r>
          </w:p>
        </w:tc>
        <w:tc>
          <w:tcPr>
            <w:tcW w:w="2114" w:type="dxa"/>
          </w:tcPr>
          <w:p w14:paraId="4067AB62" w14:textId="77777777" w:rsidR="005A561E" w:rsidRPr="00ED1038" w:rsidRDefault="005A561E" w:rsidP="00C27DC7">
            <w:pPr>
              <w:tabs>
                <w:tab w:val="left" w:pos="1134"/>
                <w:tab w:val="left" w:pos="2304"/>
                <w:tab w:val="left" w:pos="2880"/>
                <w:tab w:val="left" w:pos="8647"/>
              </w:tabs>
              <w:spacing w:after="0" w:line="240" w:lineRule="auto"/>
              <w:jc w:val="both"/>
              <w:rPr>
                <w:rFonts w:ascii="Arial" w:eastAsia="Times New Roman" w:hAnsi="Arial" w:cs="Arial"/>
                <w:color w:val="000000" w:themeColor="text1"/>
                <w:sz w:val="20"/>
                <w:szCs w:val="20"/>
              </w:rPr>
            </w:pPr>
            <w:r w:rsidRPr="00ED1038">
              <w:rPr>
                <w:rFonts w:ascii="Arial" w:eastAsia="Times New Roman" w:hAnsi="Arial" w:cs="Arial"/>
                <w:color w:val="000000" w:themeColor="text1"/>
                <w:sz w:val="20"/>
                <w:szCs w:val="20"/>
              </w:rPr>
              <w:t>£</w:t>
            </w:r>
            <w:r w:rsidR="00581A4F" w:rsidRPr="00ED1038">
              <w:rPr>
                <w:rFonts w:ascii="Arial" w:eastAsia="Times New Roman" w:hAnsi="Arial" w:cs="Arial"/>
                <w:color w:val="000000" w:themeColor="text1"/>
                <w:sz w:val="20"/>
                <w:szCs w:val="20"/>
              </w:rPr>
              <w:t>1.</w:t>
            </w:r>
            <w:r w:rsidR="00055806" w:rsidRPr="00ED1038">
              <w:rPr>
                <w:rFonts w:ascii="Arial" w:eastAsia="Times New Roman" w:hAnsi="Arial" w:cs="Arial"/>
                <w:color w:val="000000" w:themeColor="text1"/>
                <w:sz w:val="20"/>
                <w:szCs w:val="20"/>
              </w:rPr>
              <w:t>3</w:t>
            </w:r>
            <w:r w:rsidR="00EF0BDD" w:rsidRPr="00ED1038">
              <w:rPr>
                <w:rFonts w:ascii="Arial" w:eastAsia="Times New Roman" w:hAnsi="Arial" w:cs="Arial"/>
                <w:color w:val="000000" w:themeColor="text1"/>
                <w:sz w:val="20"/>
                <w:szCs w:val="20"/>
              </w:rPr>
              <w:t>9</w:t>
            </w:r>
          </w:p>
        </w:tc>
        <w:tc>
          <w:tcPr>
            <w:tcW w:w="2127" w:type="dxa"/>
          </w:tcPr>
          <w:p w14:paraId="64269508" w14:textId="77777777" w:rsidR="005A561E" w:rsidRPr="00ED1038" w:rsidRDefault="005A561E" w:rsidP="00C27DC7">
            <w:pPr>
              <w:tabs>
                <w:tab w:val="left" w:pos="1134"/>
                <w:tab w:val="left" w:pos="2304"/>
                <w:tab w:val="left" w:pos="2880"/>
                <w:tab w:val="left" w:pos="8647"/>
              </w:tabs>
              <w:spacing w:after="0" w:line="240" w:lineRule="auto"/>
              <w:jc w:val="both"/>
              <w:rPr>
                <w:rFonts w:ascii="Arial" w:eastAsia="Times New Roman" w:hAnsi="Arial" w:cs="Arial"/>
                <w:color w:val="000000" w:themeColor="text1"/>
                <w:sz w:val="20"/>
                <w:szCs w:val="20"/>
              </w:rPr>
            </w:pPr>
            <w:r w:rsidRPr="00ED1038">
              <w:rPr>
                <w:rFonts w:ascii="Arial" w:eastAsia="Times New Roman" w:hAnsi="Arial" w:cs="Arial"/>
                <w:color w:val="000000" w:themeColor="text1"/>
                <w:sz w:val="20"/>
                <w:szCs w:val="20"/>
              </w:rPr>
              <w:t>£</w:t>
            </w:r>
            <w:r w:rsidR="009012A3" w:rsidRPr="00ED1038">
              <w:rPr>
                <w:rFonts w:ascii="Arial" w:eastAsia="Times New Roman" w:hAnsi="Arial" w:cs="Arial"/>
                <w:color w:val="000000" w:themeColor="text1"/>
                <w:sz w:val="20"/>
                <w:szCs w:val="20"/>
              </w:rPr>
              <w:t>1.75</w:t>
            </w:r>
          </w:p>
        </w:tc>
      </w:tr>
      <w:tr w:rsidR="005A561E" w:rsidRPr="00ED1038" w14:paraId="652BE346" w14:textId="77777777" w:rsidTr="00CE41E7">
        <w:tc>
          <w:tcPr>
            <w:tcW w:w="1946" w:type="dxa"/>
          </w:tcPr>
          <w:p w14:paraId="529C18EA" w14:textId="77777777" w:rsidR="005A561E" w:rsidRPr="00ED1038" w:rsidRDefault="005A561E" w:rsidP="00C27DC7">
            <w:pPr>
              <w:tabs>
                <w:tab w:val="left" w:pos="1134"/>
                <w:tab w:val="left" w:pos="2304"/>
                <w:tab w:val="left" w:pos="2880"/>
                <w:tab w:val="left" w:pos="8647"/>
              </w:tabs>
              <w:spacing w:after="0" w:line="240" w:lineRule="auto"/>
              <w:jc w:val="both"/>
              <w:rPr>
                <w:rFonts w:ascii="Arial" w:eastAsia="Times New Roman" w:hAnsi="Arial" w:cs="Arial"/>
                <w:color w:val="000000" w:themeColor="text1"/>
                <w:sz w:val="20"/>
                <w:szCs w:val="20"/>
              </w:rPr>
            </w:pPr>
            <w:r w:rsidRPr="00ED1038">
              <w:rPr>
                <w:rFonts w:ascii="Arial" w:eastAsia="Times New Roman" w:hAnsi="Arial" w:cs="Arial"/>
                <w:color w:val="000000" w:themeColor="text1"/>
                <w:sz w:val="20"/>
                <w:szCs w:val="20"/>
              </w:rPr>
              <w:t>3</w:t>
            </w:r>
          </w:p>
        </w:tc>
        <w:tc>
          <w:tcPr>
            <w:tcW w:w="2114" w:type="dxa"/>
          </w:tcPr>
          <w:p w14:paraId="4974A94A" w14:textId="77777777" w:rsidR="005A561E" w:rsidRPr="00ED1038" w:rsidRDefault="002F17B9" w:rsidP="00C27DC7">
            <w:pPr>
              <w:tabs>
                <w:tab w:val="left" w:pos="1134"/>
                <w:tab w:val="left" w:pos="2304"/>
                <w:tab w:val="left" w:pos="2880"/>
                <w:tab w:val="left" w:pos="8647"/>
              </w:tabs>
              <w:spacing w:after="0" w:line="240" w:lineRule="auto"/>
              <w:jc w:val="both"/>
              <w:rPr>
                <w:rFonts w:ascii="Arial" w:eastAsia="Times New Roman" w:hAnsi="Arial" w:cs="Arial"/>
                <w:color w:val="000000" w:themeColor="text1"/>
                <w:sz w:val="20"/>
                <w:szCs w:val="20"/>
              </w:rPr>
            </w:pPr>
            <w:r w:rsidRPr="00ED1038">
              <w:rPr>
                <w:rFonts w:ascii="Arial" w:eastAsia="Times New Roman" w:hAnsi="Arial" w:cs="Arial"/>
                <w:color w:val="000000" w:themeColor="text1"/>
                <w:sz w:val="20"/>
                <w:szCs w:val="20"/>
              </w:rPr>
              <w:t>2.00</w:t>
            </w:r>
          </w:p>
        </w:tc>
        <w:tc>
          <w:tcPr>
            <w:tcW w:w="2114" w:type="dxa"/>
          </w:tcPr>
          <w:p w14:paraId="1B8F6562" w14:textId="77777777" w:rsidR="005A561E" w:rsidRPr="00ED1038" w:rsidRDefault="005A561E" w:rsidP="00C27DC7">
            <w:pPr>
              <w:tabs>
                <w:tab w:val="left" w:pos="1134"/>
                <w:tab w:val="left" w:pos="2304"/>
                <w:tab w:val="left" w:pos="2880"/>
                <w:tab w:val="left" w:pos="8647"/>
              </w:tabs>
              <w:spacing w:after="0" w:line="240" w:lineRule="auto"/>
              <w:jc w:val="both"/>
              <w:rPr>
                <w:rFonts w:ascii="Arial" w:eastAsia="Times New Roman" w:hAnsi="Arial" w:cs="Arial"/>
                <w:color w:val="000000" w:themeColor="text1"/>
                <w:sz w:val="20"/>
                <w:szCs w:val="20"/>
              </w:rPr>
            </w:pPr>
            <w:r w:rsidRPr="00ED1038">
              <w:rPr>
                <w:rFonts w:ascii="Arial" w:eastAsia="Times New Roman" w:hAnsi="Arial" w:cs="Arial"/>
                <w:color w:val="000000" w:themeColor="text1"/>
                <w:sz w:val="20"/>
                <w:szCs w:val="20"/>
              </w:rPr>
              <w:t>£</w:t>
            </w:r>
            <w:r w:rsidR="00581A4F" w:rsidRPr="00ED1038">
              <w:rPr>
                <w:rFonts w:ascii="Arial" w:eastAsia="Times New Roman" w:hAnsi="Arial" w:cs="Arial"/>
                <w:color w:val="000000" w:themeColor="text1"/>
                <w:sz w:val="20"/>
                <w:szCs w:val="20"/>
              </w:rPr>
              <w:t>1.</w:t>
            </w:r>
            <w:r w:rsidR="00055806" w:rsidRPr="00ED1038">
              <w:rPr>
                <w:rFonts w:ascii="Arial" w:eastAsia="Times New Roman" w:hAnsi="Arial" w:cs="Arial"/>
                <w:color w:val="000000" w:themeColor="text1"/>
                <w:sz w:val="20"/>
                <w:szCs w:val="20"/>
              </w:rPr>
              <w:t>5</w:t>
            </w:r>
            <w:r w:rsidR="00EF0BDD" w:rsidRPr="00ED1038">
              <w:rPr>
                <w:rFonts w:ascii="Arial" w:eastAsia="Times New Roman" w:hAnsi="Arial" w:cs="Arial"/>
                <w:color w:val="000000" w:themeColor="text1"/>
                <w:sz w:val="20"/>
                <w:szCs w:val="20"/>
              </w:rPr>
              <w:t>9</w:t>
            </w:r>
          </w:p>
        </w:tc>
        <w:tc>
          <w:tcPr>
            <w:tcW w:w="2127" w:type="dxa"/>
          </w:tcPr>
          <w:p w14:paraId="673130D9" w14:textId="77777777" w:rsidR="005A561E" w:rsidRPr="00ED1038" w:rsidRDefault="005A561E" w:rsidP="00C27DC7">
            <w:pPr>
              <w:tabs>
                <w:tab w:val="left" w:pos="1134"/>
                <w:tab w:val="left" w:pos="2304"/>
                <w:tab w:val="left" w:pos="2880"/>
                <w:tab w:val="left" w:pos="8647"/>
              </w:tabs>
              <w:spacing w:after="0" w:line="240" w:lineRule="auto"/>
              <w:jc w:val="both"/>
              <w:rPr>
                <w:rFonts w:ascii="Arial" w:eastAsia="Times New Roman" w:hAnsi="Arial" w:cs="Arial"/>
                <w:color w:val="000000" w:themeColor="text1"/>
                <w:sz w:val="20"/>
                <w:szCs w:val="20"/>
              </w:rPr>
            </w:pPr>
            <w:r w:rsidRPr="00ED1038">
              <w:rPr>
                <w:rFonts w:ascii="Arial" w:eastAsia="Times New Roman" w:hAnsi="Arial" w:cs="Arial"/>
                <w:color w:val="000000" w:themeColor="text1"/>
                <w:sz w:val="20"/>
                <w:szCs w:val="20"/>
              </w:rPr>
              <w:t>£</w:t>
            </w:r>
            <w:r w:rsidR="009012A3" w:rsidRPr="00ED1038">
              <w:rPr>
                <w:rFonts w:ascii="Arial" w:eastAsia="Times New Roman" w:hAnsi="Arial" w:cs="Arial"/>
                <w:color w:val="000000" w:themeColor="text1"/>
                <w:sz w:val="20"/>
                <w:szCs w:val="20"/>
              </w:rPr>
              <w:t>2.00</w:t>
            </w:r>
          </w:p>
        </w:tc>
      </w:tr>
    </w:tbl>
    <w:p w14:paraId="5FBAEA97" w14:textId="77777777" w:rsidR="00A6180C" w:rsidRPr="00ED1038" w:rsidRDefault="00A6180C" w:rsidP="00C27DC7">
      <w:pPr>
        <w:tabs>
          <w:tab w:val="left" w:pos="1134"/>
          <w:tab w:val="left" w:pos="2304"/>
          <w:tab w:val="left" w:pos="2880"/>
          <w:tab w:val="left" w:pos="8647"/>
        </w:tabs>
        <w:spacing w:after="0" w:line="240" w:lineRule="auto"/>
        <w:jc w:val="both"/>
        <w:rPr>
          <w:rFonts w:ascii="Arial" w:eastAsia="Times New Roman" w:hAnsi="Arial" w:cs="Arial"/>
          <w:sz w:val="20"/>
          <w:szCs w:val="20"/>
        </w:rPr>
      </w:pPr>
    </w:p>
    <w:p w14:paraId="20C68DDB" w14:textId="12EF83DB" w:rsidR="00E04312" w:rsidRPr="00ED1038" w:rsidRDefault="00151EE1" w:rsidP="00CE41E7">
      <w:pPr>
        <w:tabs>
          <w:tab w:val="left" w:pos="1134"/>
          <w:tab w:val="left" w:pos="2304"/>
          <w:tab w:val="left" w:pos="2880"/>
          <w:tab w:val="left" w:pos="8647"/>
        </w:tabs>
        <w:spacing w:after="0" w:line="240" w:lineRule="auto"/>
        <w:ind w:left="720" w:hanging="720"/>
        <w:jc w:val="both"/>
        <w:rPr>
          <w:rFonts w:ascii="Arial" w:eastAsia="Times New Roman" w:hAnsi="Arial" w:cs="Arial"/>
          <w:sz w:val="20"/>
          <w:szCs w:val="20"/>
        </w:rPr>
      </w:pPr>
      <w:r w:rsidRPr="00ED1038">
        <w:rPr>
          <w:rFonts w:ascii="Arial" w:eastAsia="Times New Roman" w:hAnsi="Arial" w:cs="Arial"/>
          <w:sz w:val="20"/>
          <w:szCs w:val="20"/>
        </w:rPr>
        <w:t>5.</w:t>
      </w:r>
      <w:r w:rsidR="00346163" w:rsidRPr="00ED1038">
        <w:rPr>
          <w:rFonts w:ascii="Arial" w:eastAsia="Times New Roman" w:hAnsi="Arial" w:cs="Arial"/>
          <w:sz w:val="20"/>
          <w:szCs w:val="20"/>
        </w:rPr>
        <w:t>7</w:t>
      </w:r>
      <w:r w:rsidR="00FA2347" w:rsidRPr="00ED1038">
        <w:rPr>
          <w:rFonts w:ascii="Arial" w:eastAsia="Times New Roman" w:hAnsi="Arial" w:cs="Arial"/>
          <w:sz w:val="20"/>
          <w:szCs w:val="20"/>
        </w:rPr>
        <w:tab/>
      </w:r>
      <w:r w:rsidR="001D17C7" w:rsidRPr="00ED1038">
        <w:rPr>
          <w:rFonts w:ascii="Arial" w:eastAsia="Times New Roman" w:hAnsi="Arial" w:cs="Arial"/>
          <w:sz w:val="20"/>
          <w:szCs w:val="20"/>
        </w:rPr>
        <w:t>As noted above</w:t>
      </w:r>
      <w:r w:rsidR="00FA2347" w:rsidRPr="00ED1038">
        <w:rPr>
          <w:rFonts w:ascii="Arial" w:eastAsia="Times New Roman" w:hAnsi="Arial" w:cs="Arial"/>
          <w:sz w:val="20"/>
          <w:szCs w:val="20"/>
        </w:rPr>
        <w:t>,</w:t>
      </w:r>
      <w:r w:rsidR="001D17C7" w:rsidRPr="00ED1038">
        <w:rPr>
          <w:rFonts w:ascii="Arial" w:eastAsia="Times New Roman" w:hAnsi="Arial" w:cs="Arial"/>
          <w:sz w:val="20"/>
          <w:szCs w:val="20"/>
        </w:rPr>
        <w:t xml:space="preserve"> the Provisional </w:t>
      </w:r>
      <w:r w:rsidR="00F6227F" w:rsidRPr="00ED1038">
        <w:rPr>
          <w:rFonts w:ascii="Arial" w:eastAsia="Times New Roman" w:hAnsi="Arial" w:cs="Arial"/>
          <w:sz w:val="20"/>
          <w:szCs w:val="20"/>
        </w:rPr>
        <w:t xml:space="preserve">Housing (HRA) </w:t>
      </w:r>
      <w:r w:rsidR="001D17C7" w:rsidRPr="00ED1038">
        <w:rPr>
          <w:rFonts w:ascii="Arial" w:eastAsia="Times New Roman" w:hAnsi="Arial" w:cs="Arial"/>
          <w:sz w:val="20"/>
          <w:szCs w:val="20"/>
        </w:rPr>
        <w:t>Revenue Budget 20</w:t>
      </w:r>
      <w:r w:rsidR="00F6227F" w:rsidRPr="00ED1038">
        <w:rPr>
          <w:rFonts w:ascii="Arial" w:eastAsia="Times New Roman" w:hAnsi="Arial" w:cs="Arial"/>
          <w:sz w:val="20"/>
          <w:szCs w:val="20"/>
        </w:rPr>
        <w:t>2</w:t>
      </w:r>
      <w:r w:rsidR="00EF0BDD" w:rsidRPr="00ED1038">
        <w:rPr>
          <w:rFonts w:ascii="Arial" w:eastAsia="Times New Roman" w:hAnsi="Arial" w:cs="Arial"/>
          <w:sz w:val="20"/>
          <w:szCs w:val="20"/>
        </w:rPr>
        <w:t>2</w:t>
      </w:r>
      <w:r w:rsidR="001D17C7" w:rsidRPr="00ED1038">
        <w:rPr>
          <w:rFonts w:ascii="Arial" w:eastAsia="Times New Roman" w:hAnsi="Arial" w:cs="Arial"/>
          <w:sz w:val="20"/>
          <w:szCs w:val="20"/>
        </w:rPr>
        <w:t>/2</w:t>
      </w:r>
      <w:r w:rsidR="00EF0BDD" w:rsidRPr="00ED1038">
        <w:rPr>
          <w:rFonts w:ascii="Arial" w:eastAsia="Times New Roman" w:hAnsi="Arial" w:cs="Arial"/>
          <w:sz w:val="20"/>
          <w:szCs w:val="20"/>
        </w:rPr>
        <w:t>3</w:t>
      </w:r>
      <w:r w:rsidR="001D17C7" w:rsidRPr="00ED1038">
        <w:rPr>
          <w:rFonts w:ascii="Arial" w:eastAsia="Times New Roman" w:hAnsi="Arial" w:cs="Arial"/>
          <w:sz w:val="20"/>
          <w:szCs w:val="20"/>
        </w:rPr>
        <w:t xml:space="preserve"> detailed in Appendix 1 shows a deficit of £</w:t>
      </w:r>
      <w:r w:rsidR="002F17B9" w:rsidRPr="00ED1038">
        <w:rPr>
          <w:rFonts w:ascii="Arial" w:eastAsia="Times New Roman" w:hAnsi="Arial" w:cs="Arial"/>
          <w:sz w:val="20"/>
          <w:szCs w:val="20"/>
        </w:rPr>
        <w:t>0.7</w:t>
      </w:r>
      <w:r w:rsidR="00EF0BDD" w:rsidRPr="00ED1038">
        <w:rPr>
          <w:rFonts w:ascii="Arial" w:eastAsia="Times New Roman" w:hAnsi="Arial" w:cs="Arial"/>
          <w:sz w:val="20"/>
          <w:szCs w:val="20"/>
        </w:rPr>
        <w:t>7</w:t>
      </w:r>
      <w:r w:rsidR="002F17B9" w:rsidRPr="00ED1038">
        <w:rPr>
          <w:rFonts w:ascii="Arial" w:eastAsia="Times New Roman" w:hAnsi="Arial" w:cs="Arial"/>
          <w:sz w:val="20"/>
          <w:szCs w:val="20"/>
        </w:rPr>
        <w:t>0m</w:t>
      </w:r>
      <w:r w:rsidR="001D17C7" w:rsidRPr="00ED1038">
        <w:rPr>
          <w:rFonts w:ascii="Arial" w:eastAsia="Times New Roman" w:hAnsi="Arial" w:cs="Arial"/>
          <w:sz w:val="20"/>
          <w:szCs w:val="20"/>
        </w:rPr>
        <w:t xml:space="preserve">.  </w:t>
      </w:r>
      <w:r w:rsidR="008C1A01" w:rsidRPr="00ED1038">
        <w:rPr>
          <w:rFonts w:ascii="Arial" w:eastAsia="Times New Roman" w:hAnsi="Arial" w:cs="Arial"/>
          <w:sz w:val="20"/>
          <w:szCs w:val="20"/>
        </w:rPr>
        <w:t>In order to set</w:t>
      </w:r>
      <w:r w:rsidR="00FA2347" w:rsidRPr="00ED1038">
        <w:rPr>
          <w:rFonts w:ascii="Arial" w:eastAsia="Times New Roman" w:hAnsi="Arial" w:cs="Arial"/>
          <w:sz w:val="20"/>
          <w:szCs w:val="20"/>
        </w:rPr>
        <w:t xml:space="preserve"> a balanced budget, t</w:t>
      </w:r>
      <w:r w:rsidR="001D17C7" w:rsidRPr="00ED1038">
        <w:rPr>
          <w:rFonts w:ascii="Arial" w:eastAsia="Times New Roman" w:hAnsi="Arial" w:cs="Arial"/>
          <w:sz w:val="20"/>
          <w:szCs w:val="20"/>
        </w:rPr>
        <w:t>his is</w:t>
      </w:r>
      <w:r w:rsidR="00BA06A8" w:rsidRPr="00ED1038">
        <w:rPr>
          <w:rFonts w:ascii="Arial" w:eastAsia="Times New Roman" w:hAnsi="Arial" w:cs="Arial"/>
          <w:sz w:val="20"/>
          <w:szCs w:val="20"/>
        </w:rPr>
        <w:t xml:space="preserve"> </w:t>
      </w:r>
      <w:r w:rsidR="001D17C7" w:rsidRPr="00ED1038">
        <w:rPr>
          <w:rFonts w:ascii="Arial" w:eastAsia="Times New Roman" w:hAnsi="Arial" w:cs="Arial"/>
          <w:sz w:val="20"/>
          <w:szCs w:val="20"/>
        </w:rPr>
        <w:t>the level of savings that would require to</w:t>
      </w:r>
      <w:r w:rsidR="006A255C" w:rsidRPr="00ED1038">
        <w:rPr>
          <w:rFonts w:ascii="Arial" w:eastAsia="Times New Roman" w:hAnsi="Arial" w:cs="Arial"/>
          <w:sz w:val="20"/>
          <w:szCs w:val="20"/>
        </w:rPr>
        <w:t xml:space="preserve"> </w:t>
      </w:r>
      <w:r w:rsidR="00BA06A8" w:rsidRPr="00ED1038">
        <w:rPr>
          <w:rFonts w:ascii="Arial" w:eastAsia="Times New Roman" w:hAnsi="Arial" w:cs="Arial"/>
          <w:sz w:val="20"/>
          <w:szCs w:val="20"/>
        </w:rPr>
        <w:t xml:space="preserve">be </w:t>
      </w:r>
      <w:r w:rsidR="00FA2347" w:rsidRPr="00ED1038">
        <w:rPr>
          <w:rFonts w:ascii="Arial" w:eastAsia="Times New Roman" w:hAnsi="Arial" w:cs="Arial"/>
          <w:sz w:val="20"/>
          <w:szCs w:val="20"/>
        </w:rPr>
        <w:t>made</w:t>
      </w:r>
      <w:r w:rsidR="006A255C" w:rsidRPr="00ED1038">
        <w:rPr>
          <w:rFonts w:ascii="Arial" w:eastAsia="Times New Roman" w:hAnsi="Arial" w:cs="Arial"/>
          <w:sz w:val="20"/>
          <w:szCs w:val="20"/>
        </w:rPr>
        <w:t xml:space="preserve"> if a 0% rent increase was</w:t>
      </w:r>
      <w:r w:rsidR="00674AA6" w:rsidRPr="00ED1038">
        <w:rPr>
          <w:rFonts w:ascii="Arial" w:eastAsia="Times New Roman" w:hAnsi="Arial" w:cs="Arial"/>
          <w:sz w:val="20"/>
          <w:szCs w:val="20"/>
        </w:rPr>
        <w:t xml:space="preserve"> </w:t>
      </w:r>
      <w:r w:rsidR="00FA2347" w:rsidRPr="00ED1038">
        <w:rPr>
          <w:rFonts w:ascii="Arial" w:eastAsia="Times New Roman" w:hAnsi="Arial" w:cs="Arial"/>
          <w:sz w:val="20"/>
          <w:szCs w:val="20"/>
        </w:rPr>
        <w:t>proposed for financial year 20</w:t>
      </w:r>
      <w:r w:rsidR="008C1A01" w:rsidRPr="00ED1038">
        <w:rPr>
          <w:rFonts w:ascii="Arial" w:eastAsia="Times New Roman" w:hAnsi="Arial" w:cs="Arial"/>
          <w:sz w:val="20"/>
          <w:szCs w:val="20"/>
        </w:rPr>
        <w:t>2</w:t>
      </w:r>
      <w:r w:rsidR="00EF0BDD" w:rsidRPr="00ED1038">
        <w:rPr>
          <w:rFonts w:ascii="Arial" w:eastAsia="Times New Roman" w:hAnsi="Arial" w:cs="Arial"/>
          <w:sz w:val="20"/>
          <w:szCs w:val="20"/>
        </w:rPr>
        <w:t>2</w:t>
      </w:r>
      <w:r w:rsidR="008C1A01" w:rsidRPr="00ED1038">
        <w:rPr>
          <w:rFonts w:ascii="Arial" w:eastAsia="Times New Roman" w:hAnsi="Arial" w:cs="Arial"/>
          <w:sz w:val="20"/>
          <w:szCs w:val="20"/>
        </w:rPr>
        <w:t>/2</w:t>
      </w:r>
      <w:r w:rsidR="00EF0BDD" w:rsidRPr="00ED1038">
        <w:rPr>
          <w:rFonts w:ascii="Arial" w:eastAsia="Times New Roman" w:hAnsi="Arial" w:cs="Arial"/>
          <w:sz w:val="20"/>
          <w:szCs w:val="20"/>
        </w:rPr>
        <w:t>3</w:t>
      </w:r>
      <w:r w:rsidR="00FA2347" w:rsidRPr="00ED1038">
        <w:rPr>
          <w:rFonts w:ascii="Arial" w:eastAsia="Times New Roman" w:hAnsi="Arial" w:cs="Arial"/>
          <w:sz w:val="20"/>
          <w:szCs w:val="20"/>
        </w:rPr>
        <w:t xml:space="preserve">.  </w:t>
      </w:r>
      <w:r w:rsidR="001D17C7" w:rsidRPr="00ED1038">
        <w:rPr>
          <w:rFonts w:ascii="Arial" w:eastAsia="Times New Roman" w:hAnsi="Arial" w:cs="Arial"/>
          <w:sz w:val="20"/>
          <w:szCs w:val="20"/>
        </w:rPr>
        <w:t>The Executive Director of Neighbourhood Services is of the opinion</w:t>
      </w:r>
      <w:r w:rsidR="00FA2347" w:rsidRPr="00ED1038">
        <w:rPr>
          <w:rFonts w:ascii="Arial" w:eastAsia="Times New Roman" w:hAnsi="Arial" w:cs="Arial"/>
          <w:sz w:val="20"/>
          <w:szCs w:val="20"/>
        </w:rPr>
        <w:t xml:space="preserve"> that the strategic and operational objectives </w:t>
      </w:r>
      <w:r w:rsidR="00BA06A8" w:rsidRPr="00ED1038">
        <w:rPr>
          <w:rFonts w:ascii="Arial" w:eastAsia="Times New Roman" w:hAnsi="Arial" w:cs="Arial"/>
          <w:sz w:val="20"/>
          <w:szCs w:val="20"/>
        </w:rPr>
        <w:t xml:space="preserve">for the service </w:t>
      </w:r>
      <w:r w:rsidR="00FA2347" w:rsidRPr="00ED1038">
        <w:rPr>
          <w:rFonts w:ascii="Arial" w:eastAsia="Times New Roman" w:hAnsi="Arial" w:cs="Arial"/>
          <w:sz w:val="20"/>
          <w:szCs w:val="20"/>
        </w:rPr>
        <w:t>could not be achieved</w:t>
      </w:r>
      <w:r w:rsidR="00BA06A8" w:rsidRPr="00ED1038">
        <w:rPr>
          <w:rFonts w:ascii="Arial" w:eastAsia="Times New Roman" w:hAnsi="Arial" w:cs="Arial"/>
          <w:sz w:val="20"/>
          <w:szCs w:val="20"/>
        </w:rPr>
        <w:t xml:space="preserve"> with this level of</w:t>
      </w:r>
      <w:r w:rsidR="00FA2347" w:rsidRPr="00ED1038">
        <w:rPr>
          <w:rFonts w:ascii="Arial" w:eastAsia="Times New Roman" w:hAnsi="Arial" w:cs="Arial"/>
          <w:sz w:val="20"/>
          <w:szCs w:val="20"/>
        </w:rPr>
        <w:t xml:space="preserve"> reduced </w:t>
      </w:r>
      <w:r w:rsidR="00BA06A8" w:rsidRPr="00ED1038">
        <w:rPr>
          <w:rFonts w:ascii="Arial" w:eastAsia="Times New Roman" w:hAnsi="Arial" w:cs="Arial"/>
          <w:sz w:val="20"/>
          <w:szCs w:val="20"/>
        </w:rPr>
        <w:t>resources</w:t>
      </w:r>
      <w:r w:rsidR="00FA2347" w:rsidRPr="00ED1038">
        <w:rPr>
          <w:rFonts w:ascii="Arial" w:eastAsia="Times New Roman" w:hAnsi="Arial" w:cs="Arial"/>
          <w:sz w:val="20"/>
          <w:szCs w:val="20"/>
        </w:rPr>
        <w:t xml:space="preserve"> and therefore </w:t>
      </w:r>
      <w:r w:rsidR="00BA06A8" w:rsidRPr="00ED1038">
        <w:rPr>
          <w:rFonts w:ascii="Arial" w:eastAsia="Times New Roman" w:hAnsi="Arial" w:cs="Arial"/>
          <w:sz w:val="20"/>
          <w:szCs w:val="20"/>
        </w:rPr>
        <w:t xml:space="preserve">that </w:t>
      </w:r>
      <w:r w:rsidR="00FA2347" w:rsidRPr="00ED1038">
        <w:rPr>
          <w:rFonts w:ascii="Arial" w:eastAsia="Times New Roman" w:hAnsi="Arial" w:cs="Arial"/>
          <w:sz w:val="20"/>
          <w:szCs w:val="20"/>
        </w:rPr>
        <w:t xml:space="preserve">option 1 above </w:t>
      </w:r>
      <w:r w:rsidR="001D17C7" w:rsidRPr="00ED1038">
        <w:rPr>
          <w:rFonts w:ascii="Arial" w:eastAsia="Times New Roman" w:hAnsi="Arial" w:cs="Arial"/>
          <w:sz w:val="20"/>
          <w:szCs w:val="20"/>
        </w:rPr>
        <w:t>represent</w:t>
      </w:r>
      <w:r w:rsidR="00FA2347" w:rsidRPr="00ED1038">
        <w:rPr>
          <w:rFonts w:ascii="Arial" w:eastAsia="Times New Roman" w:hAnsi="Arial" w:cs="Arial"/>
          <w:sz w:val="20"/>
          <w:szCs w:val="20"/>
        </w:rPr>
        <w:t>s</w:t>
      </w:r>
      <w:r w:rsidR="001D17C7" w:rsidRPr="00ED1038">
        <w:rPr>
          <w:rFonts w:ascii="Arial" w:eastAsia="Times New Roman" w:hAnsi="Arial" w:cs="Arial"/>
          <w:sz w:val="20"/>
          <w:szCs w:val="20"/>
        </w:rPr>
        <w:t xml:space="preserve"> the minimum possible increase</w:t>
      </w:r>
      <w:r w:rsidR="00FA2347" w:rsidRPr="00ED1038">
        <w:rPr>
          <w:rFonts w:ascii="Arial" w:eastAsia="Times New Roman" w:hAnsi="Arial" w:cs="Arial"/>
          <w:sz w:val="20"/>
          <w:szCs w:val="20"/>
        </w:rPr>
        <w:t>.</w:t>
      </w:r>
    </w:p>
    <w:p w14:paraId="7C3CCCB8" w14:textId="77777777" w:rsidR="00770251" w:rsidRPr="00ED1038" w:rsidRDefault="00770251" w:rsidP="00CE41E7">
      <w:pPr>
        <w:tabs>
          <w:tab w:val="left" w:pos="1134"/>
          <w:tab w:val="left" w:pos="2304"/>
          <w:tab w:val="left" w:pos="2880"/>
          <w:tab w:val="left" w:pos="8647"/>
        </w:tabs>
        <w:spacing w:after="0" w:line="240" w:lineRule="auto"/>
        <w:ind w:left="720" w:hanging="720"/>
        <w:jc w:val="both"/>
        <w:rPr>
          <w:rFonts w:ascii="Arial" w:eastAsia="Times New Roman" w:hAnsi="Arial" w:cs="Arial"/>
          <w:sz w:val="20"/>
          <w:szCs w:val="20"/>
        </w:rPr>
      </w:pPr>
    </w:p>
    <w:p w14:paraId="43869798" w14:textId="1AE80634" w:rsidR="007147ED" w:rsidRPr="00ED1038" w:rsidRDefault="001B60DF" w:rsidP="00CE41E7">
      <w:pPr>
        <w:tabs>
          <w:tab w:val="left" w:pos="1134"/>
          <w:tab w:val="left" w:pos="2304"/>
          <w:tab w:val="left" w:pos="2880"/>
          <w:tab w:val="left" w:pos="8647"/>
        </w:tabs>
        <w:spacing w:after="0" w:line="240" w:lineRule="auto"/>
        <w:ind w:left="720" w:hanging="720"/>
        <w:jc w:val="both"/>
        <w:rPr>
          <w:rFonts w:ascii="Arial" w:eastAsia="Times New Roman" w:hAnsi="Arial" w:cs="Arial"/>
          <w:sz w:val="20"/>
          <w:szCs w:val="20"/>
        </w:rPr>
      </w:pPr>
      <w:r w:rsidRPr="00ED1038">
        <w:rPr>
          <w:rFonts w:ascii="Arial" w:eastAsia="Times New Roman" w:hAnsi="Arial" w:cs="Arial"/>
          <w:sz w:val="20"/>
          <w:szCs w:val="20"/>
        </w:rPr>
        <w:t>5</w:t>
      </w:r>
      <w:r w:rsidR="00151EE1" w:rsidRPr="00ED1038">
        <w:rPr>
          <w:rFonts w:ascii="Arial" w:eastAsia="Times New Roman" w:hAnsi="Arial" w:cs="Arial"/>
          <w:sz w:val="20"/>
          <w:szCs w:val="20"/>
        </w:rPr>
        <w:t>.</w:t>
      </w:r>
      <w:r w:rsidR="00766E6B" w:rsidRPr="00ED1038">
        <w:rPr>
          <w:rFonts w:ascii="Arial" w:eastAsia="Times New Roman" w:hAnsi="Arial" w:cs="Arial"/>
          <w:sz w:val="20"/>
          <w:szCs w:val="20"/>
        </w:rPr>
        <w:t>8</w:t>
      </w:r>
      <w:r w:rsidR="007147ED" w:rsidRPr="00ED1038">
        <w:rPr>
          <w:rFonts w:ascii="Arial" w:eastAsia="Times New Roman" w:hAnsi="Arial" w:cs="Arial"/>
          <w:sz w:val="20"/>
          <w:szCs w:val="20"/>
        </w:rPr>
        <w:tab/>
        <w:t>Dundee City Council has in the past</w:t>
      </w:r>
      <w:r w:rsidR="00DA4312" w:rsidRPr="00ED1038">
        <w:rPr>
          <w:rFonts w:ascii="Arial" w:eastAsia="Times New Roman" w:hAnsi="Arial" w:cs="Arial"/>
          <w:sz w:val="20"/>
          <w:szCs w:val="20"/>
        </w:rPr>
        <w:t xml:space="preserve"> aimed to keep option 1 within (or as close possible to) </w:t>
      </w:r>
      <w:r w:rsidR="007147ED" w:rsidRPr="00ED1038">
        <w:rPr>
          <w:rFonts w:ascii="Arial" w:eastAsia="Times New Roman" w:hAnsi="Arial" w:cs="Arial"/>
          <w:sz w:val="20"/>
          <w:szCs w:val="20"/>
        </w:rPr>
        <w:t>the current rate of inflation</w:t>
      </w:r>
      <w:r w:rsidR="00BD4DFA" w:rsidRPr="00ED1038">
        <w:rPr>
          <w:rFonts w:ascii="Arial" w:eastAsia="Times New Roman" w:hAnsi="Arial" w:cs="Arial"/>
          <w:sz w:val="20"/>
          <w:szCs w:val="20"/>
        </w:rPr>
        <w:t xml:space="preserve"> plus 1%</w:t>
      </w:r>
      <w:r w:rsidR="007147ED" w:rsidRPr="00ED1038">
        <w:rPr>
          <w:rFonts w:ascii="Arial" w:eastAsia="Times New Roman" w:hAnsi="Arial" w:cs="Arial"/>
          <w:sz w:val="20"/>
          <w:szCs w:val="20"/>
        </w:rPr>
        <w:t>.  Th</w:t>
      </w:r>
      <w:r w:rsidR="00057840" w:rsidRPr="00ED1038">
        <w:rPr>
          <w:rFonts w:ascii="Arial" w:eastAsia="Times New Roman" w:hAnsi="Arial" w:cs="Arial"/>
          <w:sz w:val="20"/>
          <w:szCs w:val="20"/>
        </w:rPr>
        <w:t>is is</w:t>
      </w:r>
      <w:r w:rsidR="007147ED" w:rsidRPr="00ED1038">
        <w:rPr>
          <w:rFonts w:ascii="Arial" w:eastAsia="Times New Roman" w:hAnsi="Arial" w:cs="Arial"/>
          <w:sz w:val="20"/>
          <w:szCs w:val="20"/>
        </w:rPr>
        <w:t xml:space="preserve"> calculated using a ‘basket of indices’ comprising a weighted proportion of the consumer prices index, producer prices index and local government pay awards then adding 1%.  </w:t>
      </w:r>
      <w:r w:rsidR="00057840" w:rsidRPr="00ED1038">
        <w:rPr>
          <w:rFonts w:ascii="Arial" w:eastAsia="Times New Roman" w:hAnsi="Arial" w:cs="Arial"/>
          <w:sz w:val="20"/>
          <w:szCs w:val="20"/>
        </w:rPr>
        <w:t>Based on the latest information available, this rate of</w:t>
      </w:r>
      <w:r w:rsidR="007147ED" w:rsidRPr="00ED1038">
        <w:rPr>
          <w:rFonts w:ascii="Arial" w:eastAsia="Times New Roman" w:hAnsi="Arial" w:cs="Arial"/>
          <w:sz w:val="20"/>
          <w:szCs w:val="20"/>
        </w:rPr>
        <w:t xml:space="preserve"> inflation</w:t>
      </w:r>
      <w:r w:rsidR="00057840" w:rsidRPr="00ED1038">
        <w:rPr>
          <w:rFonts w:ascii="Arial" w:eastAsia="Times New Roman" w:hAnsi="Arial" w:cs="Arial"/>
          <w:sz w:val="20"/>
          <w:szCs w:val="20"/>
        </w:rPr>
        <w:t xml:space="preserve"> plus 1%</w:t>
      </w:r>
      <w:r w:rsidR="007147ED" w:rsidRPr="00ED1038">
        <w:rPr>
          <w:rFonts w:ascii="Arial" w:eastAsia="Times New Roman" w:hAnsi="Arial" w:cs="Arial"/>
          <w:sz w:val="20"/>
          <w:szCs w:val="20"/>
        </w:rPr>
        <w:t xml:space="preserve"> </w:t>
      </w:r>
      <w:r w:rsidR="00057840" w:rsidRPr="00ED1038">
        <w:rPr>
          <w:rFonts w:ascii="Arial" w:eastAsia="Times New Roman" w:hAnsi="Arial" w:cs="Arial"/>
          <w:sz w:val="20"/>
          <w:szCs w:val="20"/>
        </w:rPr>
        <w:t>has been calculated as</w:t>
      </w:r>
      <w:r w:rsidR="007147ED" w:rsidRPr="00ED1038">
        <w:rPr>
          <w:rFonts w:ascii="Arial" w:eastAsia="Times New Roman" w:hAnsi="Arial" w:cs="Arial"/>
          <w:sz w:val="20"/>
          <w:szCs w:val="20"/>
        </w:rPr>
        <w:t xml:space="preserve"> </w:t>
      </w:r>
      <w:r w:rsidR="00EF0BDD" w:rsidRPr="00ED1038">
        <w:rPr>
          <w:rFonts w:ascii="Arial" w:eastAsia="Times New Roman" w:hAnsi="Arial" w:cs="Arial"/>
          <w:sz w:val="20"/>
          <w:szCs w:val="20"/>
        </w:rPr>
        <w:t>4.20</w:t>
      </w:r>
      <w:r w:rsidR="007147ED" w:rsidRPr="00ED1038">
        <w:rPr>
          <w:rFonts w:ascii="Arial" w:eastAsia="Times New Roman" w:hAnsi="Arial" w:cs="Arial"/>
          <w:sz w:val="20"/>
          <w:szCs w:val="20"/>
        </w:rPr>
        <w:t xml:space="preserve">%.  </w:t>
      </w:r>
    </w:p>
    <w:p w14:paraId="1D7279AA" w14:textId="77777777" w:rsidR="00492939" w:rsidRPr="00ED1038" w:rsidRDefault="00492939" w:rsidP="00CE41E7">
      <w:pPr>
        <w:tabs>
          <w:tab w:val="left" w:pos="1134"/>
          <w:tab w:val="left" w:pos="2304"/>
          <w:tab w:val="left" w:pos="2880"/>
          <w:tab w:val="left" w:pos="8647"/>
        </w:tabs>
        <w:spacing w:after="0" w:line="240" w:lineRule="auto"/>
        <w:ind w:left="720" w:hanging="720"/>
        <w:jc w:val="both"/>
        <w:rPr>
          <w:rFonts w:ascii="Arial" w:eastAsia="Times New Roman" w:hAnsi="Arial" w:cs="Arial"/>
          <w:sz w:val="20"/>
          <w:szCs w:val="20"/>
        </w:rPr>
      </w:pPr>
    </w:p>
    <w:p w14:paraId="4BB22142" w14:textId="09A2227B" w:rsidR="00492939" w:rsidRPr="00ED1038" w:rsidRDefault="00492939" w:rsidP="00CE41E7">
      <w:pPr>
        <w:tabs>
          <w:tab w:val="left" w:pos="1134"/>
          <w:tab w:val="left" w:pos="2304"/>
          <w:tab w:val="left" w:pos="2880"/>
          <w:tab w:val="left" w:pos="8647"/>
        </w:tabs>
        <w:spacing w:after="0" w:line="240" w:lineRule="auto"/>
        <w:ind w:left="720" w:hanging="720"/>
        <w:jc w:val="both"/>
        <w:rPr>
          <w:rFonts w:ascii="Arial" w:eastAsia="Times New Roman" w:hAnsi="Arial" w:cs="Arial"/>
          <w:sz w:val="20"/>
          <w:szCs w:val="20"/>
        </w:rPr>
      </w:pPr>
      <w:r w:rsidRPr="00ED1038">
        <w:rPr>
          <w:rFonts w:ascii="Arial" w:eastAsia="Times New Roman" w:hAnsi="Arial" w:cs="Arial"/>
          <w:sz w:val="20"/>
          <w:szCs w:val="20"/>
        </w:rPr>
        <w:t>5.</w:t>
      </w:r>
      <w:r w:rsidR="00766E6B" w:rsidRPr="00ED1038">
        <w:rPr>
          <w:rFonts w:ascii="Arial" w:eastAsia="Times New Roman" w:hAnsi="Arial" w:cs="Arial"/>
          <w:sz w:val="20"/>
          <w:szCs w:val="20"/>
        </w:rPr>
        <w:t>9</w:t>
      </w:r>
      <w:r w:rsidRPr="00ED1038">
        <w:rPr>
          <w:rFonts w:ascii="Arial" w:eastAsia="Times New Roman" w:hAnsi="Arial" w:cs="Arial"/>
          <w:sz w:val="20"/>
          <w:szCs w:val="20"/>
        </w:rPr>
        <w:tab/>
      </w:r>
      <w:r w:rsidR="001657EE" w:rsidRPr="00ED1038">
        <w:rPr>
          <w:rFonts w:ascii="Arial" w:hAnsi="Arial" w:cs="Arial"/>
          <w:color w:val="000000"/>
          <w:sz w:val="20"/>
          <w:szCs w:val="20"/>
        </w:rPr>
        <w:t xml:space="preserve">The Scottish Housing Regulator’s (SHR) 2018/19 Landlord Report for Dundee City Council showed that average weekly rent levels across the council’s housing was 6% lower than the Scottish average. </w:t>
      </w:r>
      <w:r w:rsidRPr="00ED1038">
        <w:rPr>
          <w:rFonts w:ascii="Arial" w:eastAsia="Times New Roman" w:hAnsi="Arial" w:cs="Arial"/>
          <w:sz w:val="20"/>
          <w:szCs w:val="20"/>
        </w:rPr>
        <w:t xml:space="preserve">The above proposals demonstrate the Council’s </w:t>
      </w:r>
      <w:r w:rsidR="00BD4DFA" w:rsidRPr="00ED1038">
        <w:rPr>
          <w:rFonts w:ascii="Arial" w:eastAsia="Times New Roman" w:hAnsi="Arial" w:cs="Arial"/>
          <w:sz w:val="20"/>
          <w:szCs w:val="20"/>
        </w:rPr>
        <w:t xml:space="preserve">continued </w:t>
      </w:r>
      <w:r w:rsidRPr="00ED1038">
        <w:rPr>
          <w:rFonts w:ascii="Arial" w:eastAsia="Times New Roman" w:hAnsi="Arial" w:cs="Arial"/>
          <w:sz w:val="20"/>
          <w:szCs w:val="20"/>
        </w:rPr>
        <w:t>commitment to the Fairness Agenda and seek to minimise any rent increases.</w:t>
      </w:r>
    </w:p>
    <w:p w14:paraId="68190498" w14:textId="22D228FE" w:rsidR="007E0D21" w:rsidRPr="00ED1038" w:rsidRDefault="007E0D21" w:rsidP="00C27DC7">
      <w:pPr>
        <w:tabs>
          <w:tab w:val="left" w:pos="1134"/>
          <w:tab w:val="left" w:pos="2304"/>
          <w:tab w:val="left" w:pos="2880"/>
          <w:tab w:val="left" w:pos="8647"/>
        </w:tabs>
        <w:spacing w:after="0" w:line="240" w:lineRule="auto"/>
        <w:ind w:left="567" w:hanging="567"/>
        <w:jc w:val="both"/>
        <w:rPr>
          <w:rFonts w:ascii="Arial" w:eastAsia="Times New Roman" w:hAnsi="Arial" w:cs="Arial"/>
          <w:sz w:val="20"/>
          <w:szCs w:val="20"/>
        </w:rPr>
      </w:pPr>
    </w:p>
    <w:p w14:paraId="2163B2E8" w14:textId="2C118BD2" w:rsidR="007E0D21" w:rsidRPr="00ED1038" w:rsidRDefault="007E0D21" w:rsidP="00CE41E7">
      <w:pPr>
        <w:tabs>
          <w:tab w:val="left" w:pos="1134"/>
          <w:tab w:val="left" w:pos="1701"/>
          <w:tab w:val="left" w:pos="2304"/>
          <w:tab w:val="left" w:pos="2880"/>
          <w:tab w:val="left" w:pos="8647"/>
        </w:tabs>
        <w:spacing w:after="0" w:line="240" w:lineRule="auto"/>
        <w:ind w:left="720" w:hanging="720"/>
        <w:jc w:val="both"/>
        <w:rPr>
          <w:rFonts w:ascii="Arial" w:hAnsi="Arial" w:cs="Arial"/>
          <w:sz w:val="20"/>
          <w:szCs w:val="20"/>
        </w:rPr>
      </w:pPr>
      <w:r w:rsidRPr="00ED1038">
        <w:rPr>
          <w:rFonts w:ascii="Arial" w:hAnsi="Arial" w:cs="Arial"/>
          <w:sz w:val="20"/>
          <w:szCs w:val="20"/>
        </w:rPr>
        <w:t>5.10</w:t>
      </w:r>
      <w:r w:rsidRPr="00ED1038">
        <w:rPr>
          <w:rFonts w:ascii="Arial" w:hAnsi="Arial" w:cs="Arial"/>
          <w:sz w:val="20"/>
          <w:szCs w:val="20"/>
        </w:rPr>
        <w:tab/>
        <w:t>In preparing the above statements, the Executive Director of Neighbourhood Services has taken into account the key strategic, operational and financial risks facing the Council over the period. The main factors considered were:</w:t>
      </w:r>
    </w:p>
    <w:p w14:paraId="702571D4" w14:textId="77777777" w:rsidR="00997FBD" w:rsidRPr="00ED1038" w:rsidRDefault="00997FBD" w:rsidP="00C27DC7">
      <w:pPr>
        <w:tabs>
          <w:tab w:val="left" w:pos="1134"/>
          <w:tab w:val="left" w:pos="1701"/>
          <w:tab w:val="left" w:pos="2304"/>
          <w:tab w:val="left" w:pos="2880"/>
          <w:tab w:val="left" w:pos="8647"/>
        </w:tabs>
        <w:spacing w:after="0" w:line="240" w:lineRule="auto"/>
        <w:ind w:left="567" w:hanging="567"/>
        <w:jc w:val="both"/>
        <w:rPr>
          <w:rFonts w:ascii="Arial" w:hAnsi="Arial" w:cs="Arial"/>
          <w:sz w:val="20"/>
          <w:szCs w:val="20"/>
        </w:rPr>
      </w:pPr>
    </w:p>
    <w:p w14:paraId="08D330F9" w14:textId="382DC78A" w:rsidR="007E0D21" w:rsidRPr="00ED1038" w:rsidRDefault="007E0D21" w:rsidP="00CE41E7">
      <w:pPr>
        <w:pStyle w:val="ListParagraph"/>
        <w:numPr>
          <w:ilvl w:val="1"/>
          <w:numId w:val="20"/>
        </w:numPr>
        <w:spacing w:after="0" w:line="240" w:lineRule="auto"/>
        <w:ind w:left="1260" w:hanging="540"/>
        <w:jc w:val="both"/>
        <w:rPr>
          <w:rFonts w:ascii="Arial" w:hAnsi="Arial" w:cs="Arial"/>
          <w:sz w:val="20"/>
          <w:szCs w:val="20"/>
        </w:rPr>
      </w:pPr>
      <w:r w:rsidRPr="00ED1038">
        <w:rPr>
          <w:rFonts w:ascii="Arial" w:hAnsi="Arial" w:cs="Arial"/>
          <w:sz w:val="20"/>
          <w:szCs w:val="20"/>
        </w:rPr>
        <w:t>the possibility of new cost pressures or responsibilities emerging during the course of the financial year;</w:t>
      </w:r>
    </w:p>
    <w:p w14:paraId="290A66E6" w14:textId="4F4CC137" w:rsidR="007E0D21" w:rsidRPr="00ED1038" w:rsidRDefault="007E0D21" w:rsidP="00CE41E7">
      <w:pPr>
        <w:pStyle w:val="ListParagraph"/>
        <w:numPr>
          <w:ilvl w:val="1"/>
          <w:numId w:val="20"/>
        </w:numPr>
        <w:spacing w:after="0" w:line="240" w:lineRule="auto"/>
        <w:ind w:left="1260" w:hanging="540"/>
        <w:jc w:val="both"/>
        <w:rPr>
          <w:rFonts w:ascii="Arial" w:hAnsi="Arial" w:cs="Arial"/>
          <w:sz w:val="20"/>
          <w:szCs w:val="20"/>
        </w:rPr>
      </w:pPr>
      <w:r w:rsidRPr="00ED1038">
        <w:rPr>
          <w:rFonts w:ascii="Arial" w:hAnsi="Arial" w:cs="Arial"/>
          <w:sz w:val="20"/>
          <w:szCs w:val="20"/>
        </w:rPr>
        <w:t>the inherent uncertainty surrounding matters such interest rates and price inflation;</w:t>
      </w:r>
    </w:p>
    <w:p w14:paraId="0F1A4001" w14:textId="4E9D2AC7" w:rsidR="007E0D21" w:rsidRPr="00ED1038" w:rsidRDefault="007E0D21" w:rsidP="00CE41E7">
      <w:pPr>
        <w:pStyle w:val="ListParagraph"/>
        <w:numPr>
          <w:ilvl w:val="1"/>
          <w:numId w:val="20"/>
        </w:numPr>
        <w:spacing w:after="0" w:line="240" w:lineRule="auto"/>
        <w:ind w:left="1260" w:hanging="540"/>
        <w:jc w:val="both"/>
        <w:rPr>
          <w:rFonts w:ascii="Arial" w:hAnsi="Arial" w:cs="Arial"/>
          <w:sz w:val="20"/>
          <w:szCs w:val="20"/>
        </w:rPr>
      </w:pPr>
      <w:r w:rsidRPr="00ED1038">
        <w:rPr>
          <w:rFonts w:ascii="Arial" w:hAnsi="Arial" w:cs="Arial"/>
          <w:sz w:val="20"/>
          <w:szCs w:val="20"/>
        </w:rPr>
        <w:t>the impact of the Prudential Code for Capital Finance;</w:t>
      </w:r>
    </w:p>
    <w:p w14:paraId="7D160D8C" w14:textId="7E7EFF49" w:rsidR="007E0D21" w:rsidRPr="00ED1038" w:rsidRDefault="007E0D21" w:rsidP="00CE41E7">
      <w:pPr>
        <w:pStyle w:val="ListParagraph"/>
        <w:numPr>
          <w:ilvl w:val="1"/>
          <w:numId w:val="20"/>
        </w:numPr>
        <w:spacing w:after="0" w:line="240" w:lineRule="auto"/>
        <w:ind w:left="1260" w:hanging="540"/>
        <w:jc w:val="both"/>
        <w:rPr>
          <w:rFonts w:ascii="Arial" w:hAnsi="Arial" w:cs="Arial"/>
          <w:sz w:val="20"/>
          <w:szCs w:val="20"/>
        </w:rPr>
      </w:pPr>
      <w:r w:rsidRPr="00ED1038">
        <w:rPr>
          <w:rFonts w:ascii="Arial" w:hAnsi="Arial" w:cs="Arial"/>
          <w:sz w:val="20"/>
          <w:szCs w:val="20"/>
        </w:rPr>
        <w:t>the on-going impact of Welfare Reforms;</w:t>
      </w:r>
    </w:p>
    <w:p w14:paraId="5212B3FC" w14:textId="6914A268" w:rsidR="007E0D21" w:rsidRPr="00ED1038" w:rsidRDefault="007E0D21" w:rsidP="00CE41E7">
      <w:pPr>
        <w:pStyle w:val="ListParagraph"/>
        <w:numPr>
          <w:ilvl w:val="1"/>
          <w:numId w:val="20"/>
        </w:numPr>
        <w:spacing w:after="0" w:line="240" w:lineRule="auto"/>
        <w:ind w:left="1260" w:hanging="540"/>
        <w:jc w:val="both"/>
        <w:rPr>
          <w:rFonts w:ascii="Arial" w:hAnsi="Arial" w:cs="Arial"/>
          <w:sz w:val="20"/>
          <w:szCs w:val="20"/>
        </w:rPr>
      </w:pPr>
      <w:r w:rsidRPr="00ED1038">
        <w:rPr>
          <w:rFonts w:ascii="Arial" w:hAnsi="Arial" w:cs="Arial"/>
          <w:sz w:val="20"/>
          <w:szCs w:val="20"/>
        </w:rPr>
        <w:t>continuing impact of Covid-19 and particular any impact on tenants’ ability to pay their rent.</w:t>
      </w:r>
    </w:p>
    <w:p w14:paraId="1BD1D510" w14:textId="77777777" w:rsidR="00997FBD" w:rsidRPr="00ED1038" w:rsidRDefault="00997FBD" w:rsidP="00C27DC7">
      <w:pPr>
        <w:pStyle w:val="ListParagraph"/>
        <w:spacing w:after="0" w:line="240" w:lineRule="auto"/>
        <w:ind w:left="1080"/>
        <w:jc w:val="both"/>
        <w:rPr>
          <w:rFonts w:ascii="Arial" w:hAnsi="Arial" w:cs="Arial"/>
          <w:sz w:val="20"/>
          <w:szCs w:val="20"/>
        </w:rPr>
      </w:pPr>
    </w:p>
    <w:p w14:paraId="0FA7C37F" w14:textId="5BE7854D" w:rsidR="007E0D21" w:rsidRPr="00ED1038" w:rsidRDefault="007E0D21" w:rsidP="00CE41E7">
      <w:pPr>
        <w:spacing w:after="0" w:line="240" w:lineRule="auto"/>
        <w:ind w:left="720"/>
        <w:jc w:val="both"/>
        <w:rPr>
          <w:rFonts w:ascii="Arial" w:hAnsi="Arial" w:cs="Arial"/>
          <w:sz w:val="20"/>
          <w:szCs w:val="20"/>
        </w:rPr>
      </w:pPr>
      <w:r w:rsidRPr="00ED1038">
        <w:rPr>
          <w:rFonts w:ascii="Arial" w:hAnsi="Arial" w:cs="Arial"/>
          <w:sz w:val="20"/>
          <w:szCs w:val="20"/>
        </w:rPr>
        <w:t>By way of exemplification, the following table shows the potential financial impact of any variations against the current key budget assumptions:</w:t>
      </w:r>
    </w:p>
    <w:p w14:paraId="5BF1C78B" w14:textId="77777777" w:rsidR="00997FBD" w:rsidRPr="00ED1038" w:rsidRDefault="00997FBD" w:rsidP="00C27DC7">
      <w:pPr>
        <w:spacing w:after="0" w:line="240" w:lineRule="auto"/>
        <w:ind w:left="540"/>
        <w:jc w:val="both"/>
        <w:rPr>
          <w:rFonts w:ascii="Arial" w:hAnsi="Arial" w:cs="Arial"/>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160"/>
        <w:gridCol w:w="2070"/>
        <w:gridCol w:w="2001"/>
      </w:tblGrid>
      <w:tr w:rsidR="007E0D21" w:rsidRPr="00ED1038" w14:paraId="5B0DF689" w14:textId="77777777" w:rsidTr="00CE41E7">
        <w:tc>
          <w:tcPr>
            <w:tcW w:w="2070" w:type="dxa"/>
            <w:shd w:val="clear" w:color="auto" w:fill="auto"/>
          </w:tcPr>
          <w:p w14:paraId="320388CC" w14:textId="77777777" w:rsidR="007E0D21" w:rsidRPr="00ED1038" w:rsidRDefault="007E0D21" w:rsidP="00C27DC7">
            <w:pPr>
              <w:tabs>
                <w:tab w:val="left" w:pos="1134"/>
                <w:tab w:val="left" w:pos="1701"/>
                <w:tab w:val="left" w:pos="2304"/>
                <w:tab w:val="left" w:pos="2880"/>
                <w:tab w:val="left" w:pos="8647"/>
              </w:tabs>
              <w:spacing w:after="0" w:line="240" w:lineRule="auto"/>
              <w:jc w:val="both"/>
              <w:rPr>
                <w:rFonts w:ascii="Arial" w:hAnsi="Arial" w:cs="Arial"/>
                <w:b/>
                <w:sz w:val="20"/>
                <w:szCs w:val="20"/>
              </w:rPr>
            </w:pPr>
            <w:r w:rsidRPr="00ED1038">
              <w:rPr>
                <w:rFonts w:ascii="Arial" w:hAnsi="Arial" w:cs="Arial"/>
                <w:b/>
                <w:sz w:val="20"/>
                <w:szCs w:val="20"/>
              </w:rPr>
              <w:t>Budget Area</w:t>
            </w:r>
          </w:p>
        </w:tc>
        <w:tc>
          <w:tcPr>
            <w:tcW w:w="2160" w:type="dxa"/>
            <w:shd w:val="clear" w:color="auto" w:fill="auto"/>
          </w:tcPr>
          <w:p w14:paraId="4CA3D3A6" w14:textId="77777777" w:rsidR="007E0D21" w:rsidRPr="00ED1038" w:rsidRDefault="007E0D21" w:rsidP="00C27DC7">
            <w:pPr>
              <w:tabs>
                <w:tab w:val="left" w:pos="1134"/>
                <w:tab w:val="left" w:pos="1701"/>
                <w:tab w:val="left" w:pos="2304"/>
                <w:tab w:val="left" w:pos="2880"/>
                <w:tab w:val="left" w:pos="8647"/>
              </w:tabs>
              <w:spacing w:after="0" w:line="240" w:lineRule="auto"/>
              <w:jc w:val="both"/>
              <w:rPr>
                <w:rFonts w:ascii="Arial" w:hAnsi="Arial" w:cs="Arial"/>
                <w:b/>
                <w:sz w:val="20"/>
                <w:szCs w:val="20"/>
              </w:rPr>
            </w:pPr>
            <w:r w:rsidRPr="00ED1038">
              <w:rPr>
                <w:rFonts w:ascii="Arial" w:hAnsi="Arial" w:cs="Arial"/>
                <w:b/>
                <w:sz w:val="20"/>
                <w:szCs w:val="20"/>
              </w:rPr>
              <w:t>Current Assumption</w:t>
            </w:r>
          </w:p>
        </w:tc>
        <w:tc>
          <w:tcPr>
            <w:tcW w:w="2070" w:type="dxa"/>
            <w:shd w:val="clear" w:color="auto" w:fill="auto"/>
          </w:tcPr>
          <w:p w14:paraId="43FB6377" w14:textId="77777777" w:rsidR="007E0D21" w:rsidRPr="00ED1038" w:rsidRDefault="007E0D21" w:rsidP="00C27DC7">
            <w:pPr>
              <w:tabs>
                <w:tab w:val="left" w:pos="1134"/>
                <w:tab w:val="left" w:pos="1701"/>
                <w:tab w:val="left" w:pos="2304"/>
                <w:tab w:val="left" w:pos="2880"/>
                <w:tab w:val="left" w:pos="8647"/>
              </w:tabs>
              <w:spacing w:after="0" w:line="240" w:lineRule="auto"/>
              <w:jc w:val="both"/>
              <w:rPr>
                <w:rFonts w:ascii="Arial" w:hAnsi="Arial" w:cs="Arial"/>
                <w:b/>
                <w:sz w:val="20"/>
                <w:szCs w:val="20"/>
              </w:rPr>
            </w:pPr>
            <w:r w:rsidRPr="00ED1038">
              <w:rPr>
                <w:rFonts w:ascii="Arial" w:hAnsi="Arial" w:cs="Arial"/>
                <w:b/>
                <w:sz w:val="20"/>
                <w:szCs w:val="20"/>
              </w:rPr>
              <w:t>Example Variation</w:t>
            </w:r>
          </w:p>
        </w:tc>
        <w:tc>
          <w:tcPr>
            <w:tcW w:w="2001" w:type="dxa"/>
            <w:shd w:val="clear" w:color="auto" w:fill="auto"/>
          </w:tcPr>
          <w:p w14:paraId="1E23B61B" w14:textId="77777777" w:rsidR="007E0D21" w:rsidRPr="00ED1038" w:rsidRDefault="007E0D21" w:rsidP="00C27DC7">
            <w:pPr>
              <w:tabs>
                <w:tab w:val="left" w:pos="1134"/>
                <w:tab w:val="left" w:pos="1701"/>
                <w:tab w:val="left" w:pos="2304"/>
                <w:tab w:val="left" w:pos="2880"/>
                <w:tab w:val="left" w:pos="8647"/>
              </w:tabs>
              <w:spacing w:after="0" w:line="240" w:lineRule="auto"/>
              <w:jc w:val="both"/>
              <w:rPr>
                <w:rFonts w:ascii="Arial" w:hAnsi="Arial" w:cs="Arial"/>
                <w:b/>
                <w:sz w:val="20"/>
                <w:szCs w:val="20"/>
              </w:rPr>
            </w:pPr>
            <w:r w:rsidRPr="00ED1038">
              <w:rPr>
                <w:rFonts w:ascii="Arial" w:hAnsi="Arial" w:cs="Arial"/>
                <w:b/>
                <w:sz w:val="20"/>
                <w:szCs w:val="20"/>
              </w:rPr>
              <w:t>Financial Impact</w:t>
            </w:r>
          </w:p>
        </w:tc>
      </w:tr>
      <w:tr w:rsidR="007E0D21" w:rsidRPr="00ED1038" w14:paraId="16EF810F" w14:textId="77777777" w:rsidTr="00CE41E7">
        <w:tc>
          <w:tcPr>
            <w:tcW w:w="2070" w:type="dxa"/>
            <w:shd w:val="clear" w:color="auto" w:fill="auto"/>
          </w:tcPr>
          <w:p w14:paraId="41B7BF9C" w14:textId="77777777" w:rsidR="007E0D21" w:rsidRPr="00ED1038" w:rsidRDefault="007E0D21" w:rsidP="00C27DC7">
            <w:pPr>
              <w:tabs>
                <w:tab w:val="left" w:pos="1134"/>
                <w:tab w:val="left" w:pos="1701"/>
                <w:tab w:val="left" w:pos="2304"/>
                <w:tab w:val="left" w:pos="2880"/>
                <w:tab w:val="left" w:pos="8647"/>
              </w:tabs>
              <w:spacing w:after="0" w:line="240" w:lineRule="auto"/>
              <w:jc w:val="both"/>
              <w:rPr>
                <w:rFonts w:ascii="Arial" w:hAnsi="Arial" w:cs="Arial"/>
                <w:sz w:val="20"/>
                <w:szCs w:val="20"/>
              </w:rPr>
            </w:pPr>
            <w:r w:rsidRPr="00ED1038">
              <w:rPr>
                <w:rFonts w:ascii="Arial" w:hAnsi="Arial" w:cs="Arial"/>
                <w:sz w:val="20"/>
                <w:szCs w:val="20"/>
              </w:rPr>
              <w:t>Pay Awards</w:t>
            </w:r>
          </w:p>
        </w:tc>
        <w:tc>
          <w:tcPr>
            <w:tcW w:w="2160" w:type="dxa"/>
            <w:shd w:val="clear" w:color="auto" w:fill="auto"/>
          </w:tcPr>
          <w:p w14:paraId="413E9558" w14:textId="77777777" w:rsidR="007E0D21" w:rsidRPr="00ED1038" w:rsidRDefault="007E0D21" w:rsidP="00C27DC7">
            <w:pPr>
              <w:tabs>
                <w:tab w:val="left" w:pos="1134"/>
                <w:tab w:val="left" w:pos="1701"/>
                <w:tab w:val="left" w:pos="2304"/>
                <w:tab w:val="left" w:pos="2880"/>
                <w:tab w:val="left" w:pos="8647"/>
              </w:tabs>
              <w:spacing w:after="0" w:line="240" w:lineRule="auto"/>
              <w:jc w:val="both"/>
              <w:rPr>
                <w:rFonts w:ascii="Arial" w:hAnsi="Arial" w:cs="Arial"/>
                <w:sz w:val="20"/>
                <w:szCs w:val="20"/>
              </w:rPr>
            </w:pPr>
            <w:r w:rsidRPr="00ED1038">
              <w:rPr>
                <w:rFonts w:ascii="Arial" w:hAnsi="Arial" w:cs="Arial"/>
                <w:sz w:val="20"/>
                <w:szCs w:val="20"/>
              </w:rPr>
              <w:t>2.0%</w:t>
            </w:r>
          </w:p>
        </w:tc>
        <w:tc>
          <w:tcPr>
            <w:tcW w:w="2070" w:type="dxa"/>
            <w:shd w:val="clear" w:color="auto" w:fill="auto"/>
          </w:tcPr>
          <w:p w14:paraId="18F42A5C" w14:textId="6EE16FF6" w:rsidR="007E0D21" w:rsidRPr="00ED1038" w:rsidRDefault="007E0D21" w:rsidP="00C27DC7">
            <w:pPr>
              <w:tabs>
                <w:tab w:val="left" w:pos="1134"/>
                <w:tab w:val="left" w:pos="1701"/>
                <w:tab w:val="left" w:pos="2304"/>
                <w:tab w:val="left" w:pos="2880"/>
                <w:tab w:val="left" w:pos="8647"/>
              </w:tabs>
              <w:spacing w:after="0" w:line="240" w:lineRule="auto"/>
              <w:jc w:val="both"/>
              <w:rPr>
                <w:rFonts w:ascii="Arial" w:hAnsi="Arial" w:cs="Arial"/>
                <w:sz w:val="20"/>
                <w:szCs w:val="20"/>
              </w:rPr>
            </w:pPr>
            <w:r w:rsidRPr="00ED1038">
              <w:rPr>
                <w:rFonts w:ascii="Arial" w:hAnsi="Arial" w:cs="Arial"/>
                <w:sz w:val="20"/>
                <w:szCs w:val="20"/>
              </w:rPr>
              <w:t>+0.5%</w:t>
            </w:r>
          </w:p>
        </w:tc>
        <w:tc>
          <w:tcPr>
            <w:tcW w:w="2001" w:type="dxa"/>
            <w:shd w:val="clear" w:color="auto" w:fill="auto"/>
          </w:tcPr>
          <w:p w14:paraId="6A09D9A5" w14:textId="59DC3931" w:rsidR="007E0D21" w:rsidRPr="00ED1038" w:rsidRDefault="007E0D21" w:rsidP="00C27DC7">
            <w:pPr>
              <w:tabs>
                <w:tab w:val="left" w:pos="1134"/>
                <w:tab w:val="left" w:pos="1701"/>
                <w:tab w:val="left" w:pos="2304"/>
                <w:tab w:val="left" w:pos="2880"/>
                <w:tab w:val="left" w:pos="8647"/>
              </w:tabs>
              <w:spacing w:after="0" w:line="240" w:lineRule="auto"/>
              <w:jc w:val="both"/>
              <w:rPr>
                <w:rFonts w:ascii="Arial" w:hAnsi="Arial" w:cs="Arial"/>
                <w:sz w:val="20"/>
                <w:szCs w:val="20"/>
              </w:rPr>
            </w:pPr>
            <w:r w:rsidRPr="00ED1038">
              <w:rPr>
                <w:rFonts w:ascii="Arial" w:hAnsi="Arial" w:cs="Arial"/>
                <w:sz w:val="20"/>
                <w:szCs w:val="20"/>
              </w:rPr>
              <w:t>£30k</w:t>
            </w:r>
          </w:p>
        </w:tc>
      </w:tr>
      <w:tr w:rsidR="007E0D21" w:rsidRPr="00ED1038" w14:paraId="7995EDBC" w14:textId="77777777" w:rsidTr="00CE41E7">
        <w:tc>
          <w:tcPr>
            <w:tcW w:w="2070" w:type="dxa"/>
            <w:shd w:val="clear" w:color="auto" w:fill="auto"/>
          </w:tcPr>
          <w:p w14:paraId="7D36E86C" w14:textId="77777777" w:rsidR="007E0D21" w:rsidRPr="00ED1038" w:rsidRDefault="007E0D21" w:rsidP="00C27DC7">
            <w:pPr>
              <w:tabs>
                <w:tab w:val="left" w:pos="1134"/>
                <w:tab w:val="left" w:pos="1701"/>
                <w:tab w:val="left" w:pos="2304"/>
                <w:tab w:val="left" w:pos="2880"/>
                <w:tab w:val="left" w:pos="8647"/>
              </w:tabs>
              <w:spacing w:after="0" w:line="240" w:lineRule="auto"/>
              <w:jc w:val="both"/>
              <w:rPr>
                <w:rFonts w:ascii="Arial" w:hAnsi="Arial" w:cs="Arial"/>
                <w:sz w:val="20"/>
                <w:szCs w:val="20"/>
              </w:rPr>
            </w:pPr>
            <w:r w:rsidRPr="00ED1038">
              <w:rPr>
                <w:rFonts w:ascii="Arial" w:hAnsi="Arial" w:cs="Arial"/>
                <w:sz w:val="20"/>
                <w:szCs w:val="20"/>
              </w:rPr>
              <w:t>Price Inflation</w:t>
            </w:r>
          </w:p>
        </w:tc>
        <w:tc>
          <w:tcPr>
            <w:tcW w:w="2160" w:type="dxa"/>
            <w:shd w:val="clear" w:color="auto" w:fill="auto"/>
          </w:tcPr>
          <w:p w14:paraId="3E7F7E7B" w14:textId="77777777" w:rsidR="007E0D21" w:rsidRPr="00ED1038" w:rsidRDefault="007E0D21" w:rsidP="00C27DC7">
            <w:pPr>
              <w:tabs>
                <w:tab w:val="left" w:pos="1134"/>
                <w:tab w:val="left" w:pos="1701"/>
                <w:tab w:val="left" w:pos="2304"/>
                <w:tab w:val="left" w:pos="2880"/>
                <w:tab w:val="left" w:pos="8647"/>
              </w:tabs>
              <w:spacing w:after="0" w:line="240" w:lineRule="auto"/>
              <w:jc w:val="both"/>
              <w:rPr>
                <w:rFonts w:ascii="Arial" w:hAnsi="Arial" w:cs="Arial"/>
                <w:sz w:val="20"/>
                <w:szCs w:val="20"/>
              </w:rPr>
            </w:pPr>
            <w:r w:rsidRPr="00ED1038">
              <w:rPr>
                <w:rFonts w:ascii="Arial" w:hAnsi="Arial" w:cs="Arial"/>
                <w:sz w:val="20"/>
                <w:szCs w:val="20"/>
              </w:rPr>
              <w:t>Various</w:t>
            </w:r>
          </w:p>
        </w:tc>
        <w:tc>
          <w:tcPr>
            <w:tcW w:w="2070" w:type="dxa"/>
            <w:shd w:val="clear" w:color="auto" w:fill="auto"/>
          </w:tcPr>
          <w:p w14:paraId="3C240947" w14:textId="3276FD69" w:rsidR="007E0D21" w:rsidRPr="00ED1038" w:rsidRDefault="007E0D21" w:rsidP="00C27DC7">
            <w:pPr>
              <w:tabs>
                <w:tab w:val="left" w:pos="1134"/>
                <w:tab w:val="left" w:pos="1701"/>
                <w:tab w:val="left" w:pos="2304"/>
                <w:tab w:val="left" w:pos="2880"/>
                <w:tab w:val="left" w:pos="8647"/>
              </w:tabs>
              <w:spacing w:after="0" w:line="240" w:lineRule="auto"/>
              <w:jc w:val="both"/>
              <w:rPr>
                <w:rFonts w:ascii="Arial" w:hAnsi="Arial" w:cs="Arial"/>
                <w:sz w:val="20"/>
                <w:szCs w:val="20"/>
              </w:rPr>
            </w:pPr>
            <w:r w:rsidRPr="00ED1038">
              <w:rPr>
                <w:rFonts w:ascii="Arial" w:hAnsi="Arial" w:cs="Arial"/>
                <w:sz w:val="20"/>
                <w:szCs w:val="20"/>
              </w:rPr>
              <w:t>+0.5%</w:t>
            </w:r>
          </w:p>
        </w:tc>
        <w:tc>
          <w:tcPr>
            <w:tcW w:w="2001" w:type="dxa"/>
            <w:shd w:val="clear" w:color="auto" w:fill="auto"/>
          </w:tcPr>
          <w:p w14:paraId="4D84C567" w14:textId="456A3206" w:rsidR="007E0D21" w:rsidRPr="00ED1038" w:rsidRDefault="007E0D21" w:rsidP="00C27DC7">
            <w:pPr>
              <w:tabs>
                <w:tab w:val="left" w:pos="1134"/>
                <w:tab w:val="left" w:pos="1701"/>
                <w:tab w:val="left" w:pos="2304"/>
                <w:tab w:val="left" w:pos="2880"/>
                <w:tab w:val="left" w:pos="8647"/>
              </w:tabs>
              <w:spacing w:after="0" w:line="240" w:lineRule="auto"/>
              <w:jc w:val="both"/>
              <w:rPr>
                <w:rFonts w:ascii="Arial" w:hAnsi="Arial" w:cs="Arial"/>
                <w:sz w:val="20"/>
                <w:szCs w:val="20"/>
              </w:rPr>
            </w:pPr>
            <w:r w:rsidRPr="00ED1038">
              <w:rPr>
                <w:rFonts w:ascii="Arial" w:hAnsi="Arial" w:cs="Arial"/>
                <w:sz w:val="20"/>
                <w:szCs w:val="20"/>
              </w:rPr>
              <w:t>£150k</w:t>
            </w:r>
          </w:p>
        </w:tc>
      </w:tr>
      <w:tr w:rsidR="007E0D21" w:rsidRPr="00ED1038" w14:paraId="22B01030" w14:textId="77777777" w:rsidTr="00CE41E7">
        <w:tc>
          <w:tcPr>
            <w:tcW w:w="2070" w:type="dxa"/>
            <w:shd w:val="clear" w:color="auto" w:fill="auto"/>
            <w:vAlign w:val="center"/>
          </w:tcPr>
          <w:p w14:paraId="07CE4607" w14:textId="77777777" w:rsidR="007E0D21" w:rsidRPr="00ED1038" w:rsidRDefault="007E0D21" w:rsidP="00C27DC7">
            <w:pPr>
              <w:tabs>
                <w:tab w:val="left" w:pos="1134"/>
                <w:tab w:val="left" w:pos="1701"/>
                <w:tab w:val="left" w:pos="2304"/>
                <w:tab w:val="left" w:pos="2880"/>
                <w:tab w:val="left" w:pos="8647"/>
              </w:tabs>
              <w:spacing w:after="0" w:line="240" w:lineRule="auto"/>
              <w:jc w:val="both"/>
              <w:rPr>
                <w:rFonts w:ascii="Arial" w:hAnsi="Arial" w:cs="Arial"/>
                <w:sz w:val="20"/>
                <w:szCs w:val="20"/>
              </w:rPr>
            </w:pPr>
            <w:r w:rsidRPr="00ED1038">
              <w:rPr>
                <w:rFonts w:ascii="Arial" w:hAnsi="Arial" w:cs="Arial"/>
                <w:sz w:val="20"/>
                <w:szCs w:val="20"/>
              </w:rPr>
              <w:t>Interest Rate (CLF Average Rate)</w:t>
            </w:r>
          </w:p>
        </w:tc>
        <w:tc>
          <w:tcPr>
            <w:tcW w:w="2160" w:type="dxa"/>
            <w:shd w:val="clear" w:color="auto" w:fill="auto"/>
            <w:vAlign w:val="center"/>
          </w:tcPr>
          <w:p w14:paraId="0F61306B" w14:textId="57A7589B" w:rsidR="007E0D21" w:rsidRPr="00ED1038" w:rsidRDefault="007E0D21" w:rsidP="00C27DC7">
            <w:pPr>
              <w:tabs>
                <w:tab w:val="left" w:pos="1134"/>
                <w:tab w:val="left" w:pos="1701"/>
                <w:tab w:val="left" w:pos="2304"/>
                <w:tab w:val="left" w:pos="2880"/>
                <w:tab w:val="left" w:pos="8647"/>
              </w:tabs>
              <w:spacing w:after="0" w:line="240" w:lineRule="auto"/>
              <w:jc w:val="both"/>
              <w:rPr>
                <w:rFonts w:ascii="Arial" w:hAnsi="Arial" w:cs="Arial"/>
                <w:sz w:val="20"/>
                <w:szCs w:val="20"/>
              </w:rPr>
            </w:pPr>
            <w:r w:rsidRPr="00ED1038">
              <w:rPr>
                <w:rFonts w:ascii="Arial" w:hAnsi="Arial" w:cs="Arial"/>
                <w:sz w:val="20"/>
                <w:szCs w:val="20"/>
              </w:rPr>
              <w:t>3.5%</w:t>
            </w:r>
          </w:p>
        </w:tc>
        <w:tc>
          <w:tcPr>
            <w:tcW w:w="2070" w:type="dxa"/>
            <w:shd w:val="clear" w:color="auto" w:fill="auto"/>
            <w:vAlign w:val="center"/>
          </w:tcPr>
          <w:p w14:paraId="1E8B435A" w14:textId="2CA42CD6" w:rsidR="007E0D21" w:rsidRPr="00ED1038" w:rsidRDefault="007E0D21" w:rsidP="00C27DC7">
            <w:pPr>
              <w:tabs>
                <w:tab w:val="left" w:pos="1134"/>
                <w:tab w:val="left" w:pos="1701"/>
                <w:tab w:val="left" w:pos="2304"/>
                <w:tab w:val="left" w:pos="2880"/>
                <w:tab w:val="left" w:pos="8647"/>
              </w:tabs>
              <w:spacing w:after="0" w:line="240" w:lineRule="auto"/>
              <w:jc w:val="both"/>
              <w:rPr>
                <w:rFonts w:ascii="Arial" w:hAnsi="Arial" w:cs="Arial"/>
                <w:sz w:val="20"/>
                <w:szCs w:val="20"/>
              </w:rPr>
            </w:pPr>
            <w:r w:rsidRPr="00ED1038">
              <w:rPr>
                <w:rFonts w:ascii="Arial" w:hAnsi="Arial" w:cs="Arial"/>
                <w:sz w:val="20"/>
                <w:szCs w:val="20"/>
              </w:rPr>
              <w:t>+0.5%</w:t>
            </w:r>
          </w:p>
        </w:tc>
        <w:tc>
          <w:tcPr>
            <w:tcW w:w="2001" w:type="dxa"/>
            <w:shd w:val="clear" w:color="auto" w:fill="auto"/>
            <w:vAlign w:val="center"/>
          </w:tcPr>
          <w:p w14:paraId="5FA39C4D" w14:textId="62D37B74" w:rsidR="007E0D21" w:rsidRPr="00ED1038" w:rsidRDefault="007E0D21" w:rsidP="00C27DC7">
            <w:pPr>
              <w:tabs>
                <w:tab w:val="left" w:pos="1134"/>
                <w:tab w:val="left" w:pos="1701"/>
                <w:tab w:val="left" w:pos="2304"/>
                <w:tab w:val="left" w:pos="2880"/>
                <w:tab w:val="left" w:pos="8647"/>
              </w:tabs>
              <w:spacing w:after="0" w:line="240" w:lineRule="auto"/>
              <w:jc w:val="both"/>
              <w:rPr>
                <w:rFonts w:ascii="Arial" w:hAnsi="Arial" w:cs="Arial"/>
                <w:sz w:val="20"/>
                <w:szCs w:val="20"/>
              </w:rPr>
            </w:pPr>
            <w:r w:rsidRPr="00ED1038">
              <w:rPr>
                <w:rFonts w:ascii="Arial" w:hAnsi="Arial" w:cs="Arial"/>
                <w:sz w:val="20"/>
                <w:szCs w:val="20"/>
              </w:rPr>
              <w:t>£35k</w:t>
            </w:r>
          </w:p>
        </w:tc>
      </w:tr>
    </w:tbl>
    <w:p w14:paraId="737B4FB8" w14:textId="77777777" w:rsidR="007E0D21" w:rsidRPr="00ED1038" w:rsidRDefault="007E0D21" w:rsidP="00C27DC7">
      <w:pPr>
        <w:tabs>
          <w:tab w:val="left" w:pos="1134"/>
          <w:tab w:val="left" w:pos="2304"/>
          <w:tab w:val="left" w:pos="2880"/>
          <w:tab w:val="left" w:pos="8647"/>
        </w:tabs>
        <w:spacing w:after="0" w:line="240" w:lineRule="auto"/>
        <w:ind w:left="567" w:hanging="567"/>
        <w:jc w:val="both"/>
        <w:rPr>
          <w:rFonts w:ascii="Arial" w:eastAsia="Times New Roman" w:hAnsi="Arial" w:cs="Arial"/>
          <w:sz w:val="20"/>
          <w:szCs w:val="20"/>
        </w:rPr>
      </w:pPr>
    </w:p>
    <w:p w14:paraId="0BB2CB27" w14:textId="77777777" w:rsidR="00212B81" w:rsidRPr="00ED1038" w:rsidRDefault="00212B81" w:rsidP="00CE41E7">
      <w:pPr>
        <w:tabs>
          <w:tab w:val="left" w:pos="1134"/>
          <w:tab w:val="left" w:pos="2304"/>
          <w:tab w:val="left" w:pos="2880"/>
          <w:tab w:val="left" w:pos="8647"/>
        </w:tabs>
        <w:spacing w:after="0" w:line="240" w:lineRule="auto"/>
        <w:ind w:left="720" w:hanging="720"/>
        <w:jc w:val="both"/>
        <w:rPr>
          <w:rFonts w:ascii="Arial" w:eastAsia="Times New Roman" w:hAnsi="Arial" w:cs="Arial"/>
          <w:sz w:val="20"/>
          <w:szCs w:val="20"/>
        </w:rPr>
      </w:pPr>
    </w:p>
    <w:p w14:paraId="65285967" w14:textId="77777777" w:rsidR="00236104" w:rsidRPr="00ED1038" w:rsidRDefault="003A40D5" w:rsidP="00CE41E7">
      <w:pPr>
        <w:tabs>
          <w:tab w:val="left" w:pos="1134"/>
          <w:tab w:val="left" w:pos="2304"/>
          <w:tab w:val="left" w:pos="2880"/>
          <w:tab w:val="left" w:pos="8647"/>
        </w:tabs>
        <w:spacing w:after="0" w:line="240" w:lineRule="auto"/>
        <w:ind w:left="720" w:hanging="720"/>
        <w:jc w:val="both"/>
        <w:rPr>
          <w:rFonts w:ascii="Arial" w:eastAsia="Times New Roman" w:hAnsi="Arial" w:cs="Arial"/>
          <w:color w:val="000000" w:themeColor="text1"/>
          <w:sz w:val="20"/>
          <w:szCs w:val="20"/>
        </w:rPr>
      </w:pPr>
      <w:r w:rsidRPr="00ED1038">
        <w:rPr>
          <w:rFonts w:ascii="Arial" w:eastAsia="Times New Roman" w:hAnsi="Arial" w:cs="Arial"/>
          <w:color w:val="000000" w:themeColor="text1"/>
          <w:sz w:val="20"/>
          <w:szCs w:val="20"/>
        </w:rPr>
        <w:t>6</w:t>
      </w:r>
      <w:r w:rsidRPr="00ED1038">
        <w:rPr>
          <w:rFonts w:ascii="Arial" w:eastAsia="Times New Roman" w:hAnsi="Arial" w:cs="Arial"/>
          <w:color w:val="000000" w:themeColor="text1"/>
          <w:sz w:val="20"/>
          <w:szCs w:val="20"/>
        </w:rPr>
        <w:tab/>
      </w:r>
      <w:r w:rsidR="00A32361" w:rsidRPr="00ED1038">
        <w:rPr>
          <w:rFonts w:ascii="Arial" w:eastAsia="Times New Roman" w:hAnsi="Arial" w:cs="Arial"/>
          <w:b/>
          <w:color w:val="000000" w:themeColor="text1"/>
          <w:sz w:val="20"/>
          <w:szCs w:val="20"/>
        </w:rPr>
        <w:t>CLIMATE CHANGE</w:t>
      </w:r>
    </w:p>
    <w:p w14:paraId="57FAB423" w14:textId="77777777" w:rsidR="003A40D5" w:rsidRPr="00ED1038" w:rsidRDefault="003A40D5" w:rsidP="00CE41E7">
      <w:pPr>
        <w:tabs>
          <w:tab w:val="left" w:pos="1134"/>
          <w:tab w:val="left" w:pos="2304"/>
          <w:tab w:val="left" w:pos="2880"/>
          <w:tab w:val="left" w:pos="8647"/>
        </w:tabs>
        <w:spacing w:after="0" w:line="240" w:lineRule="auto"/>
        <w:ind w:left="720" w:hanging="720"/>
        <w:jc w:val="both"/>
        <w:rPr>
          <w:rFonts w:ascii="Arial" w:eastAsia="Times New Roman" w:hAnsi="Arial" w:cs="Arial"/>
          <w:color w:val="000000" w:themeColor="text1"/>
          <w:sz w:val="20"/>
          <w:szCs w:val="20"/>
        </w:rPr>
      </w:pPr>
    </w:p>
    <w:p w14:paraId="47DD75E3" w14:textId="77777777" w:rsidR="003A40D5" w:rsidRPr="00ED1038" w:rsidRDefault="003A40D5" w:rsidP="00CE41E7">
      <w:pPr>
        <w:tabs>
          <w:tab w:val="left" w:pos="1134"/>
          <w:tab w:val="left" w:pos="2304"/>
          <w:tab w:val="left" w:pos="2880"/>
          <w:tab w:val="left" w:pos="8647"/>
        </w:tabs>
        <w:spacing w:after="0" w:line="240" w:lineRule="auto"/>
        <w:ind w:left="720" w:hanging="720"/>
        <w:jc w:val="both"/>
        <w:rPr>
          <w:rFonts w:ascii="Arial" w:eastAsia="Times New Roman" w:hAnsi="Arial" w:cs="Arial"/>
          <w:color w:val="000000" w:themeColor="text1"/>
          <w:sz w:val="20"/>
          <w:szCs w:val="20"/>
        </w:rPr>
      </w:pPr>
      <w:r w:rsidRPr="00ED1038">
        <w:rPr>
          <w:rFonts w:ascii="Arial" w:eastAsia="Times New Roman" w:hAnsi="Arial" w:cs="Arial"/>
          <w:color w:val="000000" w:themeColor="text1"/>
          <w:sz w:val="20"/>
          <w:szCs w:val="20"/>
        </w:rPr>
        <w:lastRenderedPageBreak/>
        <w:t>6.1</w:t>
      </w:r>
      <w:r w:rsidRPr="00ED1038">
        <w:rPr>
          <w:rFonts w:ascii="Arial" w:eastAsia="Times New Roman" w:hAnsi="Arial" w:cs="Arial"/>
          <w:color w:val="000000" w:themeColor="text1"/>
          <w:sz w:val="20"/>
          <w:szCs w:val="20"/>
        </w:rPr>
        <w:tab/>
        <w:t>Dundee City Council declared a climate emergency in June 2019, followed by the launch of Dundee’s Climate Action Plan in support of the transition to a net-zero and climate resilient future</w:t>
      </w:r>
      <w:r w:rsidR="00783927" w:rsidRPr="00ED1038">
        <w:rPr>
          <w:rFonts w:ascii="Arial" w:eastAsia="Times New Roman" w:hAnsi="Arial" w:cs="Arial"/>
          <w:color w:val="000000" w:themeColor="text1"/>
          <w:sz w:val="20"/>
          <w:szCs w:val="20"/>
        </w:rPr>
        <w:t xml:space="preserve">.  </w:t>
      </w:r>
      <w:r w:rsidRPr="00ED1038">
        <w:rPr>
          <w:rFonts w:ascii="Arial" w:eastAsia="Times New Roman" w:hAnsi="Arial" w:cs="Arial"/>
          <w:color w:val="000000" w:themeColor="text1"/>
          <w:sz w:val="20"/>
          <w:szCs w:val="20"/>
        </w:rPr>
        <w:t>With this declaration and action plan, the Council will develop further projects and initiatives in the coming years to assist in tackling this issue.</w:t>
      </w:r>
    </w:p>
    <w:p w14:paraId="160050C5" w14:textId="49FF1091" w:rsidR="003A40D5" w:rsidRPr="00ED1038" w:rsidRDefault="003A40D5" w:rsidP="00CE41E7">
      <w:pPr>
        <w:tabs>
          <w:tab w:val="left" w:pos="1134"/>
          <w:tab w:val="left" w:pos="2304"/>
          <w:tab w:val="left" w:pos="2880"/>
          <w:tab w:val="left" w:pos="8647"/>
        </w:tabs>
        <w:spacing w:after="0" w:line="240" w:lineRule="auto"/>
        <w:ind w:left="720" w:hanging="720"/>
        <w:jc w:val="both"/>
        <w:rPr>
          <w:rFonts w:ascii="Arial" w:eastAsia="Times New Roman" w:hAnsi="Arial" w:cs="Arial"/>
          <w:color w:val="000000" w:themeColor="text1"/>
          <w:sz w:val="20"/>
          <w:szCs w:val="20"/>
        </w:rPr>
      </w:pPr>
    </w:p>
    <w:p w14:paraId="25275E19" w14:textId="372C4BE2" w:rsidR="00C937D3" w:rsidRPr="00ED1038" w:rsidRDefault="003A40D5" w:rsidP="00CE41E7">
      <w:pPr>
        <w:tabs>
          <w:tab w:val="left" w:pos="1134"/>
          <w:tab w:val="left" w:pos="2304"/>
          <w:tab w:val="left" w:pos="2880"/>
          <w:tab w:val="left" w:pos="8647"/>
        </w:tabs>
        <w:spacing w:after="0" w:line="240" w:lineRule="auto"/>
        <w:ind w:left="720" w:hanging="720"/>
        <w:jc w:val="both"/>
        <w:rPr>
          <w:rFonts w:ascii="Arial" w:eastAsia="Times New Roman" w:hAnsi="Arial" w:cs="Arial"/>
          <w:color w:val="000000" w:themeColor="text1"/>
          <w:sz w:val="20"/>
          <w:szCs w:val="20"/>
        </w:rPr>
      </w:pPr>
      <w:r w:rsidRPr="00ED1038">
        <w:rPr>
          <w:rFonts w:ascii="Arial" w:eastAsia="Times New Roman" w:hAnsi="Arial" w:cs="Arial"/>
          <w:color w:val="000000" w:themeColor="text1"/>
          <w:sz w:val="20"/>
          <w:szCs w:val="20"/>
        </w:rPr>
        <w:t>6.2</w:t>
      </w:r>
      <w:r w:rsidRPr="00ED1038">
        <w:rPr>
          <w:rFonts w:ascii="Arial" w:eastAsia="Times New Roman" w:hAnsi="Arial" w:cs="Arial"/>
          <w:color w:val="000000" w:themeColor="text1"/>
          <w:sz w:val="20"/>
          <w:szCs w:val="20"/>
        </w:rPr>
        <w:tab/>
      </w:r>
      <w:r w:rsidR="001657EE" w:rsidRPr="00ED1038">
        <w:rPr>
          <w:rFonts w:ascii="Arial" w:eastAsia="Times New Roman" w:hAnsi="Arial" w:cs="Arial"/>
          <w:color w:val="000000" w:themeColor="text1"/>
          <w:sz w:val="20"/>
          <w:szCs w:val="20"/>
        </w:rPr>
        <w:t>Although Covid-19 has impacted on progress, t</w:t>
      </w:r>
      <w:r w:rsidRPr="00ED1038">
        <w:rPr>
          <w:rFonts w:ascii="Arial" w:eastAsia="Times New Roman" w:hAnsi="Arial" w:cs="Arial"/>
          <w:color w:val="000000" w:themeColor="text1"/>
          <w:sz w:val="20"/>
          <w:szCs w:val="20"/>
        </w:rPr>
        <w:t>he Council is committed to implementing measures that improve the carbon footprint of the city</w:t>
      </w:r>
      <w:r w:rsidR="005D658F" w:rsidRPr="00ED1038">
        <w:rPr>
          <w:rFonts w:ascii="Arial" w:eastAsia="Times New Roman" w:hAnsi="Arial" w:cs="Arial"/>
          <w:color w:val="000000" w:themeColor="text1"/>
          <w:sz w:val="20"/>
          <w:szCs w:val="20"/>
        </w:rPr>
        <w:t xml:space="preserve"> and the spending proposals </w:t>
      </w:r>
      <w:r w:rsidR="00E448E5" w:rsidRPr="00ED1038">
        <w:rPr>
          <w:rFonts w:ascii="Arial" w:eastAsia="Times New Roman" w:hAnsi="Arial" w:cs="Arial"/>
          <w:color w:val="000000" w:themeColor="text1"/>
          <w:sz w:val="20"/>
          <w:szCs w:val="20"/>
        </w:rPr>
        <w:t xml:space="preserve">within this budget </w:t>
      </w:r>
      <w:r w:rsidR="00A65F16" w:rsidRPr="00ED1038">
        <w:rPr>
          <w:rFonts w:ascii="Arial" w:eastAsia="Times New Roman" w:hAnsi="Arial" w:cs="Arial"/>
          <w:color w:val="000000" w:themeColor="text1"/>
          <w:sz w:val="20"/>
          <w:szCs w:val="20"/>
        </w:rPr>
        <w:t>will provide</w:t>
      </w:r>
      <w:r w:rsidR="001A6C46" w:rsidRPr="00ED1038">
        <w:rPr>
          <w:rFonts w:ascii="Arial" w:eastAsia="Times New Roman" w:hAnsi="Arial" w:cs="Arial"/>
          <w:color w:val="000000" w:themeColor="text1"/>
          <w:sz w:val="20"/>
          <w:szCs w:val="20"/>
        </w:rPr>
        <w:t xml:space="preserve"> significant</w:t>
      </w:r>
      <w:r w:rsidR="00A65F16" w:rsidRPr="00ED1038">
        <w:rPr>
          <w:rFonts w:ascii="Arial" w:eastAsia="Times New Roman" w:hAnsi="Arial" w:cs="Arial"/>
          <w:color w:val="000000" w:themeColor="text1"/>
          <w:sz w:val="20"/>
          <w:szCs w:val="20"/>
        </w:rPr>
        <w:t xml:space="preserve"> resources for tackling </w:t>
      </w:r>
      <w:r w:rsidRPr="00ED1038">
        <w:rPr>
          <w:rFonts w:ascii="Arial" w:eastAsia="Times New Roman" w:hAnsi="Arial" w:cs="Arial"/>
          <w:color w:val="000000" w:themeColor="text1"/>
          <w:sz w:val="20"/>
          <w:szCs w:val="20"/>
        </w:rPr>
        <w:t>climate change</w:t>
      </w:r>
      <w:r w:rsidR="00C937D3" w:rsidRPr="00ED1038">
        <w:rPr>
          <w:rFonts w:ascii="Arial" w:eastAsia="Times New Roman" w:hAnsi="Arial" w:cs="Arial"/>
          <w:color w:val="000000" w:themeColor="text1"/>
          <w:sz w:val="20"/>
          <w:szCs w:val="20"/>
        </w:rPr>
        <w:t xml:space="preserve">.  </w:t>
      </w:r>
      <w:r w:rsidR="00783927" w:rsidRPr="00ED1038">
        <w:rPr>
          <w:rFonts w:ascii="Arial" w:eastAsia="Times New Roman" w:hAnsi="Arial" w:cs="Arial"/>
          <w:color w:val="000000" w:themeColor="text1"/>
          <w:sz w:val="20"/>
          <w:szCs w:val="20"/>
        </w:rPr>
        <w:t>Housing p</w:t>
      </w:r>
      <w:r w:rsidR="00C937D3" w:rsidRPr="00ED1038">
        <w:rPr>
          <w:rFonts w:ascii="Arial" w:eastAsia="Times New Roman" w:hAnsi="Arial" w:cs="Arial"/>
          <w:color w:val="000000" w:themeColor="text1"/>
          <w:sz w:val="20"/>
          <w:szCs w:val="20"/>
        </w:rPr>
        <w:t xml:space="preserve">rojects that are already underway </w:t>
      </w:r>
      <w:r w:rsidR="00BB756D" w:rsidRPr="00ED1038">
        <w:rPr>
          <w:rFonts w:ascii="Arial" w:eastAsia="Times New Roman" w:hAnsi="Arial" w:cs="Arial"/>
          <w:color w:val="000000" w:themeColor="text1"/>
          <w:sz w:val="20"/>
          <w:szCs w:val="20"/>
        </w:rPr>
        <w:t xml:space="preserve">or </w:t>
      </w:r>
      <w:r w:rsidR="00C937D3" w:rsidRPr="00ED1038">
        <w:rPr>
          <w:rFonts w:ascii="Arial" w:eastAsia="Times New Roman" w:hAnsi="Arial" w:cs="Arial"/>
          <w:color w:val="000000" w:themeColor="text1"/>
          <w:sz w:val="20"/>
          <w:szCs w:val="20"/>
        </w:rPr>
        <w:t xml:space="preserve">are being considered as part of the </w:t>
      </w:r>
      <w:r w:rsidR="00783927" w:rsidRPr="00ED1038">
        <w:rPr>
          <w:rFonts w:ascii="Arial" w:eastAsia="Times New Roman" w:hAnsi="Arial" w:cs="Arial"/>
          <w:color w:val="000000" w:themeColor="text1"/>
          <w:sz w:val="20"/>
          <w:szCs w:val="20"/>
        </w:rPr>
        <w:t>longer-term</w:t>
      </w:r>
      <w:r w:rsidR="00C937D3" w:rsidRPr="00ED1038">
        <w:rPr>
          <w:rFonts w:ascii="Arial" w:eastAsia="Times New Roman" w:hAnsi="Arial" w:cs="Arial"/>
          <w:color w:val="000000" w:themeColor="text1"/>
          <w:sz w:val="20"/>
          <w:szCs w:val="20"/>
        </w:rPr>
        <w:t xml:space="preserve"> capital plan include the following:</w:t>
      </w:r>
    </w:p>
    <w:p w14:paraId="7251B853" w14:textId="77777777" w:rsidR="00C937D3" w:rsidRPr="00ED1038" w:rsidRDefault="00C937D3" w:rsidP="00C27DC7">
      <w:pPr>
        <w:tabs>
          <w:tab w:val="left" w:pos="1134"/>
          <w:tab w:val="left" w:pos="2304"/>
          <w:tab w:val="left" w:pos="2880"/>
          <w:tab w:val="left" w:pos="8647"/>
        </w:tabs>
        <w:spacing w:after="0" w:line="240" w:lineRule="auto"/>
        <w:ind w:left="567" w:hanging="567"/>
        <w:jc w:val="both"/>
        <w:rPr>
          <w:rFonts w:ascii="Arial" w:eastAsia="Times New Roman" w:hAnsi="Arial" w:cs="Arial"/>
          <w:color w:val="000000" w:themeColor="text1"/>
          <w:sz w:val="20"/>
          <w:szCs w:val="20"/>
        </w:rPr>
      </w:pPr>
    </w:p>
    <w:p w14:paraId="441940C9" w14:textId="178EA44F" w:rsidR="00C937D3" w:rsidRPr="00ED1038" w:rsidRDefault="00A65F16" w:rsidP="00C27DC7">
      <w:pPr>
        <w:pStyle w:val="ListParagraph"/>
        <w:numPr>
          <w:ilvl w:val="0"/>
          <w:numId w:val="21"/>
        </w:numPr>
        <w:spacing w:after="0" w:line="240" w:lineRule="auto"/>
        <w:ind w:hanging="540"/>
        <w:jc w:val="both"/>
        <w:rPr>
          <w:rFonts w:ascii="Arial" w:eastAsia="Times New Roman" w:hAnsi="Arial" w:cs="Arial"/>
          <w:color w:val="000000" w:themeColor="text1"/>
          <w:sz w:val="20"/>
          <w:szCs w:val="20"/>
        </w:rPr>
      </w:pPr>
      <w:r w:rsidRPr="00ED1038">
        <w:rPr>
          <w:rFonts w:ascii="Arial" w:eastAsia="Times New Roman" w:hAnsi="Arial" w:cs="Arial"/>
          <w:color w:val="000000" w:themeColor="text1"/>
          <w:sz w:val="20"/>
          <w:szCs w:val="20"/>
        </w:rPr>
        <w:t xml:space="preserve">continued </w:t>
      </w:r>
      <w:r w:rsidR="003A40D5" w:rsidRPr="00ED1038">
        <w:rPr>
          <w:rFonts w:ascii="Arial" w:eastAsia="Times New Roman" w:hAnsi="Arial" w:cs="Arial"/>
          <w:color w:val="000000" w:themeColor="text1"/>
          <w:sz w:val="20"/>
          <w:szCs w:val="20"/>
        </w:rPr>
        <w:t>investment in external wall insulation</w:t>
      </w:r>
      <w:r w:rsidR="00C937D3" w:rsidRPr="00ED1038">
        <w:rPr>
          <w:rFonts w:ascii="Arial" w:eastAsia="Times New Roman" w:hAnsi="Arial" w:cs="Arial"/>
          <w:color w:val="000000" w:themeColor="text1"/>
          <w:sz w:val="20"/>
          <w:szCs w:val="20"/>
        </w:rPr>
        <w:t xml:space="preserve"> for existing stock;</w:t>
      </w:r>
    </w:p>
    <w:p w14:paraId="17D749F2" w14:textId="56422691" w:rsidR="00C937D3" w:rsidRPr="00ED1038" w:rsidRDefault="00A65F16" w:rsidP="00C27DC7">
      <w:pPr>
        <w:pStyle w:val="ListParagraph"/>
        <w:numPr>
          <w:ilvl w:val="0"/>
          <w:numId w:val="21"/>
        </w:numPr>
        <w:spacing w:after="0" w:line="240" w:lineRule="auto"/>
        <w:ind w:hanging="540"/>
        <w:jc w:val="both"/>
        <w:rPr>
          <w:rFonts w:ascii="Arial" w:eastAsia="Times New Roman" w:hAnsi="Arial" w:cs="Arial"/>
          <w:color w:val="000000" w:themeColor="text1"/>
          <w:sz w:val="20"/>
          <w:szCs w:val="20"/>
        </w:rPr>
      </w:pPr>
      <w:r w:rsidRPr="00ED1038">
        <w:rPr>
          <w:rFonts w:ascii="Arial" w:eastAsia="Times New Roman" w:hAnsi="Arial" w:cs="Arial"/>
          <w:color w:val="000000" w:themeColor="text1"/>
          <w:sz w:val="20"/>
          <w:szCs w:val="20"/>
        </w:rPr>
        <w:t xml:space="preserve">other </w:t>
      </w:r>
      <w:r w:rsidR="00C937D3" w:rsidRPr="00ED1038">
        <w:rPr>
          <w:rFonts w:ascii="Arial" w:eastAsia="Times New Roman" w:hAnsi="Arial" w:cs="Arial"/>
          <w:color w:val="000000" w:themeColor="text1"/>
          <w:sz w:val="20"/>
          <w:szCs w:val="20"/>
        </w:rPr>
        <w:t xml:space="preserve">energy saving </w:t>
      </w:r>
      <w:r w:rsidRPr="00ED1038">
        <w:rPr>
          <w:rFonts w:ascii="Arial" w:eastAsia="Times New Roman" w:hAnsi="Arial" w:cs="Arial"/>
          <w:color w:val="000000" w:themeColor="text1"/>
          <w:sz w:val="20"/>
          <w:szCs w:val="20"/>
        </w:rPr>
        <w:t xml:space="preserve">programmes </w:t>
      </w:r>
      <w:r w:rsidR="00E448E5" w:rsidRPr="00ED1038">
        <w:rPr>
          <w:rFonts w:ascii="Arial" w:eastAsia="Times New Roman" w:hAnsi="Arial" w:cs="Arial"/>
          <w:color w:val="000000" w:themeColor="text1"/>
          <w:sz w:val="20"/>
          <w:szCs w:val="20"/>
        </w:rPr>
        <w:t>such loft insulation</w:t>
      </w:r>
      <w:r w:rsidR="00C937D3" w:rsidRPr="00ED1038">
        <w:rPr>
          <w:rFonts w:ascii="Arial" w:eastAsia="Times New Roman" w:hAnsi="Arial" w:cs="Arial"/>
          <w:color w:val="000000" w:themeColor="text1"/>
          <w:sz w:val="20"/>
          <w:szCs w:val="20"/>
        </w:rPr>
        <w:t xml:space="preserve"> and </w:t>
      </w:r>
      <w:r w:rsidR="00E448E5" w:rsidRPr="00ED1038">
        <w:rPr>
          <w:rFonts w:ascii="Arial" w:eastAsia="Times New Roman" w:hAnsi="Arial" w:cs="Arial"/>
          <w:color w:val="000000" w:themeColor="text1"/>
          <w:sz w:val="20"/>
          <w:szCs w:val="20"/>
        </w:rPr>
        <w:t>cavity wall insulation</w:t>
      </w:r>
      <w:r w:rsidR="00C937D3" w:rsidRPr="00ED1038">
        <w:rPr>
          <w:rFonts w:ascii="Arial" w:eastAsia="Times New Roman" w:hAnsi="Arial" w:cs="Arial"/>
          <w:color w:val="000000" w:themeColor="text1"/>
          <w:sz w:val="20"/>
          <w:szCs w:val="20"/>
        </w:rPr>
        <w:t>;</w:t>
      </w:r>
      <w:r w:rsidR="00E448E5" w:rsidRPr="00ED1038">
        <w:rPr>
          <w:rFonts w:ascii="Arial" w:eastAsia="Times New Roman" w:hAnsi="Arial" w:cs="Arial"/>
          <w:color w:val="000000" w:themeColor="text1"/>
          <w:sz w:val="20"/>
          <w:szCs w:val="20"/>
        </w:rPr>
        <w:t xml:space="preserve"> </w:t>
      </w:r>
    </w:p>
    <w:p w14:paraId="393C841C" w14:textId="42CE6789" w:rsidR="00C937D3" w:rsidRPr="00ED1038" w:rsidRDefault="00C937D3" w:rsidP="00C27DC7">
      <w:pPr>
        <w:pStyle w:val="ListParagraph"/>
        <w:numPr>
          <w:ilvl w:val="0"/>
          <w:numId w:val="21"/>
        </w:numPr>
        <w:spacing w:after="0" w:line="240" w:lineRule="auto"/>
        <w:ind w:hanging="540"/>
        <w:jc w:val="both"/>
        <w:rPr>
          <w:rFonts w:ascii="Arial" w:eastAsia="Times New Roman" w:hAnsi="Arial" w:cs="Arial"/>
          <w:color w:val="000000" w:themeColor="text1"/>
          <w:sz w:val="20"/>
          <w:szCs w:val="20"/>
        </w:rPr>
      </w:pPr>
      <w:r w:rsidRPr="00ED1038">
        <w:rPr>
          <w:rFonts w:ascii="Arial" w:eastAsia="Times New Roman" w:hAnsi="Arial" w:cs="Arial"/>
          <w:color w:val="000000" w:themeColor="text1"/>
          <w:sz w:val="20"/>
          <w:szCs w:val="20"/>
        </w:rPr>
        <w:t xml:space="preserve">further </w:t>
      </w:r>
      <w:r w:rsidR="00A65F16" w:rsidRPr="00ED1038">
        <w:rPr>
          <w:rFonts w:ascii="Arial" w:eastAsia="Times New Roman" w:hAnsi="Arial" w:cs="Arial"/>
          <w:color w:val="000000" w:themeColor="text1"/>
          <w:sz w:val="20"/>
          <w:szCs w:val="20"/>
        </w:rPr>
        <w:t>energy saving measures includ</w:t>
      </w:r>
      <w:r w:rsidR="00E448E5" w:rsidRPr="00ED1038">
        <w:rPr>
          <w:rFonts w:ascii="Arial" w:eastAsia="Times New Roman" w:hAnsi="Arial" w:cs="Arial"/>
          <w:color w:val="000000" w:themeColor="text1"/>
          <w:sz w:val="20"/>
          <w:szCs w:val="20"/>
        </w:rPr>
        <w:t>ed</w:t>
      </w:r>
      <w:r w:rsidR="00A65F16" w:rsidRPr="00ED1038">
        <w:rPr>
          <w:rFonts w:ascii="Arial" w:eastAsia="Times New Roman" w:hAnsi="Arial" w:cs="Arial"/>
          <w:color w:val="000000" w:themeColor="text1"/>
          <w:sz w:val="20"/>
          <w:szCs w:val="20"/>
        </w:rPr>
        <w:t xml:space="preserve"> within the design of new council housing</w:t>
      </w:r>
      <w:r w:rsidRPr="00ED1038">
        <w:rPr>
          <w:rFonts w:ascii="Arial" w:eastAsia="Times New Roman" w:hAnsi="Arial" w:cs="Arial"/>
          <w:color w:val="000000" w:themeColor="text1"/>
          <w:sz w:val="20"/>
          <w:szCs w:val="20"/>
        </w:rPr>
        <w:t>;</w:t>
      </w:r>
      <w:r w:rsidR="00E448E5" w:rsidRPr="00ED1038">
        <w:rPr>
          <w:rFonts w:ascii="Arial" w:eastAsia="Times New Roman" w:hAnsi="Arial" w:cs="Arial"/>
          <w:color w:val="000000" w:themeColor="text1"/>
          <w:sz w:val="20"/>
          <w:szCs w:val="20"/>
        </w:rPr>
        <w:t xml:space="preserve"> </w:t>
      </w:r>
    </w:p>
    <w:p w14:paraId="61A4ECAD" w14:textId="0366CAF7" w:rsidR="00C937D3" w:rsidRPr="00ED1038" w:rsidRDefault="00C937D3" w:rsidP="00C27DC7">
      <w:pPr>
        <w:pStyle w:val="ListParagraph"/>
        <w:numPr>
          <w:ilvl w:val="0"/>
          <w:numId w:val="21"/>
        </w:numPr>
        <w:spacing w:after="0" w:line="240" w:lineRule="auto"/>
        <w:ind w:hanging="540"/>
        <w:jc w:val="both"/>
        <w:rPr>
          <w:rFonts w:ascii="Arial" w:eastAsia="Times New Roman" w:hAnsi="Arial" w:cs="Arial"/>
          <w:color w:val="000000" w:themeColor="text1"/>
          <w:sz w:val="20"/>
          <w:szCs w:val="20"/>
        </w:rPr>
      </w:pPr>
      <w:r w:rsidRPr="00ED1038">
        <w:rPr>
          <w:rFonts w:ascii="Arial" w:eastAsia="Times New Roman" w:hAnsi="Arial" w:cs="Arial"/>
          <w:color w:val="000000" w:themeColor="text1"/>
          <w:sz w:val="20"/>
          <w:szCs w:val="20"/>
        </w:rPr>
        <w:t>installation of m</w:t>
      </w:r>
      <w:r w:rsidR="00E448E5" w:rsidRPr="00ED1038">
        <w:rPr>
          <w:rFonts w:ascii="Arial" w:eastAsia="Times New Roman" w:hAnsi="Arial" w:cs="Arial"/>
          <w:color w:val="000000" w:themeColor="text1"/>
          <w:sz w:val="20"/>
          <w:szCs w:val="20"/>
        </w:rPr>
        <w:t xml:space="preserve">otion censored LED lighting </w:t>
      </w:r>
      <w:r w:rsidRPr="00ED1038">
        <w:rPr>
          <w:rFonts w:ascii="Arial" w:eastAsia="Times New Roman" w:hAnsi="Arial" w:cs="Arial"/>
          <w:color w:val="000000" w:themeColor="text1"/>
          <w:sz w:val="20"/>
          <w:szCs w:val="20"/>
        </w:rPr>
        <w:t>within</w:t>
      </w:r>
      <w:r w:rsidR="00E448E5" w:rsidRPr="00ED1038">
        <w:rPr>
          <w:rFonts w:ascii="Arial" w:eastAsia="Times New Roman" w:hAnsi="Arial" w:cs="Arial"/>
          <w:color w:val="000000" w:themeColor="text1"/>
          <w:sz w:val="20"/>
          <w:szCs w:val="20"/>
        </w:rPr>
        <w:t xml:space="preserve"> communal areas</w:t>
      </w:r>
      <w:r w:rsidRPr="00ED1038">
        <w:rPr>
          <w:rFonts w:ascii="Arial" w:eastAsia="Times New Roman" w:hAnsi="Arial" w:cs="Arial"/>
          <w:color w:val="000000" w:themeColor="text1"/>
          <w:sz w:val="20"/>
          <w:szCs w:val="20"/>
        </w:rPr>
        <w:t>;</w:t>
      </w:r>
    </w:p>
    <w:p w14:paraId="0F18A622" w14:textId="19851131" w:rsidR="00C937D3" w:rsidRPr="00ED1038" w:rsidRDefault="00C937D3" w:rsidP="00C27DC7">
      <w:pPr>
        <w:pStyle w:val="ListParagraph"/>
        <w:numPr>
          <w:ilvl w:val="0"/>
          <w:numId w:val="21"/>
        </w:numPr>
        <w:spacing w:after="0" w:line="240" w:lineRule="auto"/>
        <w:ind w:hanging="540"/>
        <w:jc w:val="both"/>
        <w:rPr>
          <w:rFonts w:ascii="Arial" w:eastAsia="Times New Roman" w:hAnsi="Arial" w:cs="Arial"/>
          <w:color w:val="000000" w:themeColor="text1"/>
          <w:sz w:val="20"/>
          <w:szCs w:val="20"/>
        </w:rPr>
      </w:pPr>
      <w:r w:rsidRPr="00ED1038">
        <w:rPr>
          <w:rFonts w:ascii="Arial" w:eastAsia="Times New Roman" w:hAnsi="Arial" w:cs="Arial"/>
          <w:color w:val="000000" w:themeColor="text1"/>
          <w:sz w:val="20"/>
          <w:szCs w:val="20"/>
        </w:rPr>
        <w:t xml:space="preserve">other energy efficiency initiatives including </w:t>
      </w:r>
      <w:r w:rsidR="00783927" w:rsidRPr="00ED1038">
        <w:rPr>
          <w:rFonts w:ascii="Arial" w:eastAsia="Times New Roman" w:hAnsi="Arial" w:cs="Arial"/>
          <w:color w:val="000000" w:themeColor="text1"/>
          <w:sz w:val="20"/>
          <w:szCs w:val="20"/>
        </w:rPr>
        <w:t xml:space="preserve">installation of </w:t>
      </w:r>
      <w:r w:rsidRPr="00ED1038">
        <w:rPr>
          <w:rFonts w:ascii="Arial" w:eastAsia="Times New Roman" w:hAnsi="Arial" w:cs="Arial"/>
          <w:color w:val="000000" w:themeColor="text1"/>
          <w:sz w:val="20"/>
          <w:szCs w:val="20"/>
        </w:rPr>
        <w:t xml:space="preserve">solar panels; </w:t>
      </w:r>
    </w:p>
    <w:p w14:paraId="3FAA0E70" w14:textId="20F145C4" w:rsidR="00C937D3" w:rsidRPr="00ED1038" w:rsidRDefault="00C937D3" w:rsidP="00C27DC7">
      <w:pPr>
        <w:pStyle w:val="ListParagraph"/>
        <w:numPr>
          <w:ilvl w:val="0"/>
          <w:numId w:val="21"/>
        </w:numPr>
        <w:spacing w:after="0" w:line="240" w:lineRule="auto"/>
        <w:ind w:hanging="540"/>
        <w:jc w:val="both"/>
        <w:rPr>
          <w:rFonts w:ascii="Arial" w:eastAsia="Times New Roman" w:hAnsi="Arial" w:cs="Arial"/>
          <w:color w:val="000000" w:themeColor="text1"/>
          <w:sz w:val="20"/>
          <w:szCs w:val="20"/>
        </w:rPr>
      </w:pPr>
      <w:r w:rsidRPr="00ED1038">
        <w:rPr>
          <w:rFonts w:ascii="Arial" w:eastAsia="Times New Roman" w:hAnsi="Arial" w:cs="Arial"/>
          <w:color w:val="000000" w:themeColor="text1"/>
          <w:sz w:val="20"/>
          <w:szCs w:val="20"/>
        </w:rPr>
        <w:t>linkages into new district heating schemes as these come on line</w:t>
      </w:r>
      <w:r w:rsidR="007F2BFE" w:rsidRPr="00ED1038">
        <w:rPr>
          <w:rFonts w:ascii="Arial" w:eastAsia="Times New Roman" w:hAnsi="Arial" w:cs="Arial"/>
          <w:color w:val="000000" w:themeColor="text1"/>
          <w:sz w:val="20"/>
          <w:szCs w:val="20"/>
        </w:rPr>
        <w:t>;</w:t>
      </w:r>
    </w:p>
    <w:p w14:paraId="79F8BF57" w14:textId="630E362F" w:rsidR="00C937D3" w:rsidRPr="00ED1038" w:rsidRDefault="00C937D3" w:rsidP="00C27DC7">
      <w:pPr>
        <w:pStyle w:val="ListParagraph"/>
        <w:numPr>
          <w:ilvl w:val="0"/>
          <w:numId w:val="21"/>
        </w:numPr>
        <w:spacing w:after="0" w:line="240" w:lineRule="auto"/>
        <w:ind w:hanging="540"/>
        <w:jc w:val="both"/>
        <w:rPr>
          <w:rFonts w:ascii="Arial" w:eastAsia="Times New Roman" w:hAnsi="Arial" w:cs="Arial"/>
          <w:color w:val="000000" w:themeColor="text1"/>
          <w:sz w:val="20"/>
          <w:szCs w:val="20"/>
        </w:rPr>
      </w:pPr>
      <w:r w:rsidRPr="00ED1038">
        <w:rPr>
          <w:rFonts w:ascii="Arial" w:eastAsia="Times New Roman" w:hAnsi="Arial" w:cs="Arial"/>
          <w:color w:val="000000" w:themeColor="text1"/>
          <w:sz w:val="20"/>
          <w:szCs w:val="20"/>
        </w:rPr>
        <w:t>piloting emerging carbon reduction technologies as they become available.</w:t>
      </w:r>
    </w:p>
    <w:p w14:paraId="3D19BDFF" w14:textId="77777777" w:rsidR="00CC39D4" w:rsidRPr="00ED1038" w:rsidRDefault="00CC39D4" w:rsidP="00C27DC7">
      <w:pPr>
        <w:tabs>
          <w:tab w:val="left" w:pos="1134"/>
          <w:tab w:val="left" w:pos="2304"/>
          <w:tab w:val="left" w:pos="2880"/>
          <w:tab w:val="left" w:pos="8647"/>
        </w:tabs>
        <w:spacing w:after="0" w:line="240" w:lineRule="auto"/>
        <w:ind w:left="567" w:hanging="567"/>
        <w:jc w:val="both"/>
        <w:rPr>
          <w:rFonts w:ascii="Arial" w:eastAsia="Times New Roman" w:hAnsi="Arial" w:cs="Arial"/>
          <w:sz w:val="20"/>
          <w:szCs w:val="20"/>
        </w:rPr>
      </w:pPr>
    </w:p>
    <w:p w14:paraId="1F9AB090" w14:textId="77777777" w:rsidR="00E448E5" w:rsidRPr="00ED1038" w:rsidRDefault="00E448E5" w:rsidP="00CE41E7">
      <w:pPr>
        <w:tabs>
          <w:tab w:val="left" w:pos="1134"/>
          <w:tab w:val="left" w:pos="2304"/>
          <w:tab w:val="left" w:pos="2880"/>
          <w:tab w:val="left" w:pos="8647"/>
        </w:tabs>
        <w:spacing w:after="0" w:line="240" w:lineRule="auto"/>
        <w:ind w:left="720" w:hanging="720"/>
        <w:jc w:val="both"/>
        <w:rPr>
          <w:rFonts w:ascii="Arial" w:eastAsia="Times New Roman" w:hAnsi="Arial" w:cs="Arial"/>
          <w:color w:val="000000" w:themeColor="text1"/>
          <w:sz w:val="20"/>
          <w:szCs w:val="20"/>
        </w:rPr>
      </w:pPr>
      <w:r w:rsidRPr="00ED1038">
        <w:rPr>
          <w:rFonts w:ascii="Arial" w:eastAsia="Times New Roman" w:hAnsi="Arial" w:cs="Arial"/>
          <w:color w:val="000000" w:themeColor="text1"/>
          <w:sz w:val="20"/>
          <w:szCs w:val="20"/>
        </w:rPr>
        <w:t>7</w:t>
      </w:r>
      <w:r w:rsidRPr="00ED1038">
        <w:rPr>
          <w:rFonts w:ascii="Arial" w:eastAsia="Times New Roman" w:hAnsi="Arial" w:cs="Arial"/>
          <w:color w:val="000000" w:themeColor="text1"/>
          <w:sz w:val="20"/>
          <w:szCs w:val="20"/>
        </w:rPr>
        <w:tab/>
      </w:r>
      <w:r w:rsidRPr="00ED1038">
        <w:rPr>
          <w:rFonts w:ascii="Arial" w:eastAsia="Times New Roman" w:hAnsi="Arial" w:cs="Arial"/>
          <w:b/>
          <w:color w:val="000000" w:themeColor="text1"/>
          <w:sz w:val="20"/>
          <w:szCs w:val="20"/>
        </w:rPr>
        <w:t>COVID-19</w:t>
      </w:r>
      <w:r w:rsidR="00CC39D4" w:rsidRPr="00ED1038">
        <w:rPr>
          <w:rFonts w:ascii="Arial" w:eastAsia="Times New Roman" w:hAnsi="Arial" w:cs="Arial"/>
          <w:b/>
          <w:color w:val="000000" w:themeColor="text1"/>
          <w:sz w:val="20"/>
          <w:szCs w:val="20"/>
        </w:rPr>
        <w:t xml:space="preserve"> RECOVERY PLAN</w:t>
      </w:r>
    </w:p>
    <w:p w14:paraId="0C743E63" w14:textId="77777777" w:rsidR="00E448E5" w:rsidRPr="00ED1038" w:rsidRDefault="00E448E5" w:rsidP="00CE41E7">
      <w:pPr>
        <w:tabs>
          <w:tab w:val="left" w:pos="1134"/>
          <w:tab w:val="left" w:pos="2304"/>
          <w:tab w:val="left" w:pos="2880"/>
          <w:tab w:val="left" w:pos="8647"/>
        </w:tabs>
        <w:spacing w:after="0" w:line="240" w:lineRule="auto"/>
        <w:ind w:left="720" w:hanging="720"/>
        <w:jc w:val="both"/>
        <w:rPr>
          <w:rFonts w:ascii="Arial" w:eastAsia="Times New Roman" w:hAnsi="Arial" w:cs="Arial"/>
          <w:color w:val="000000" w:themeColor="text1"/>
          <w:sz w:val="20"/>
          <w:szCs w:val="20"/>
        </w:rPr>
      </w:pPr>
    </w:p>
    <w:p w14:paraId="628A06AC" w14:textId="2B283491" w:rsidR="00236104" w:rsidRPr="00ED1038" w:rsidRDefault="00CC39D4" w:rsidP="00CE41E7">
      <w:pPr>
        <w:tabs>
          <w:tab w:val="left" w:pos="1134"/>
          <w:tab w:val="left" w:pos="2304"/>
          <w:tab w:val="left" w:pos="2880"/>
          <w:tab w:val="left" w:pos="8647"/>
        </w:tabs>
        <w:spacing w:after="0" w:line="240" w:lineRule="auto"/>
        <w:ind w:left="720" w:hanging="720"/>
        <w:jc w:val="both"/>
        <w:rPr>
          <w:rFonts w:ascii="Arial" w:eastAsia="Times New Roman" w:hAnsi="Arial" w:cs="Arial"/>
          <w:color w:val="000000" w:themeColor="text1"/>
          <w:sz w:val="20"/>
          <w:szCs w:val="20"/>
        </w:rPr>
      </w:pPr>
      <w:r w:rsidRPr="00ED1038">
        <w:rPr>
          <w:rFonts w:ascii="Arial" w:eastAsia="Times New Roman" w:hAnsi="Arial" w:cs="Arial"/>
          <w:color w:val="000000" w:themeColor="text1"/>
          <w:sz w:val="20"/>
          <w:szCs w:val="20"/>
        </w:rPr>
        <w:t>7.1</w:t>
      </w:r>
      <w:r w:rsidRPr="00ED1038">
        <w:rPr>
          <w:rFonts w:ascii="Arial" w:eastAsia="Times New Roman" w:hAnsi="Arial" w:cs="Arial"/>
          <w:color w:val="000000" w:themeColor="text1"/>
          <w:sz w:val="20"/>
          <w:szCs w:val="20"/>
        </w:rPr>
        <w:tab/>
        <w:t xml:space="preserve">The proposed resources will also support the delivery of the agreed </w:t>
      </w:r>
      <w:r w:rsidR="00236104" w:rsidRPr="00ED1038">
        <w:rPr>
          <w:rFonts w:ascii="Arial" w:eastAsia="Times New Roman" w:hAnsi="Arial" w:cs="Arial"/>
          <w:color w:val="000000" w:themeColor="text1"/>
          <w:sz w:val="20"/>
          <w:szCs w:val="20"/>
        </w:rPr>
        <w:t>Co</w:t>
      </w:r>
      <w:r w:rsidRPr="00ED1038">
        <w:rPr>
          <w:rFonts w:ascii="Arial" w:eastAsia="Times New Roman" w:hAnsi="Arial" w:cs="Arial"/>
          <w:color w:val="000000" w:themeColor="text1"/>
          <w:sz w:val="20"/>
          <w:szCs w:val="20"/>
        </w:rPr>
        <w:t>vid-19 Recovery Plan (Article XIV of the minute of the meeting of Policy &amp; Resources Committee on 24 August 2020, Report No: 185-2020 refers</w:t>
      </w:r>
      <w:r w:rsidR="00671AEA" w:rsidRPr="00ED1038">
        <w:rPr>
          <w:rFonts w:ascii="Arial" w:eastAsia="Times New Roman" w:hAnsi="Arial" w:cs="Arial"/>
          <w:color w:val="000000" w:themeColor="text1"/>
          <w:sz w:val="20"/>
          <w:szCs w:val="20"/>
        </w:rPr>
        <w:t>)</w:t>
      </w:r>
      <w:r w:rsidRPr="00ED1038">
        <w:rPr>
          <w:rFonts w:ascii="Arial" w:eastAsia="Times New Roman" w:hAnsi="Arial" w:cs="Arial"/>
          <w:color w:val="000000" w:themeColor="text1"/>
          <w:sz w:val="20"/>
          <w:szCs w:val="20"/>
        </w:rPr>
        <w:t>.  In particular</w:t>
      </w:r>
      <w:r w:rsidR="00A6180C" w:rsidRPr="00ED1038">
        <w:rPr>
          <w:rFonts w:ascii="Arial" w:eastAsia="Times New Roman" w:hAnsi="Arial" w:cs="Arial"/>
          <w:color w:val="000000" w:themeColor="text1"/>
          <w:sz w:val="20"/>
          <w:szCs w:val="20"/>
        </w:rPr>
        <w:t>,</w:t>
      </w:r>
      <w:r w:rsidRPr="00ED1038">
        <w:rPr>
          <w:rFonts w:ascii="Arial" w:eastAsia="Times New Roman" w:hAnsi="Arial" w:cs="Arial"/>
          <w:color w:val="000000" w:themeColor="text1"/>
          <w:sz w:val="20"/>
          <w:szCs w:val="20"/>
        </w:rPr>
        <w:t xml:space="preserve"> the significant investment in construction activities will provide valuable resources to construction and repairs programmes across the city with economic benefits for our in-house Construction Services</w:t>
      </w:r>
      <w:r w:rsidR="00A6180C" w:rsidRPr="00ED1038">
        <w:rPr>
          <w:rFonts w:ascii="Arial" w:eastAsia="Times New Roman" w:hAnsi="Arial" w:cs="Arial"/>
          <w:color w:val="000000" w:themeColor="text1"/>
          <w:sz w:val="20"/>
          <w:szCs w:val="20"/>
        </w:rPr>
        <w:t>,</w:t>
      </w:r>
      <w:r w:rsidRPr="00ED1038">
        <w:rPr>
          <w:rFonts w:ascii="Arial" w:eastAsia="Times New Roman" w:hAnsi="Arial" w:cs="Arial"/>
          <w:color w:val="000000" w:themeColor="text1"/>
          <w:sz w:val="20"/>
          <w:szCs w:val="20"/>
        </w:rPr>
        <w:t xml:space="preserve"> other external companies and the wider supply chain for these activities.</w:t>
      </w:r>
    </w:p>
    <w:p w14:paraId="5CA5DDAA" w14:textId="77777777" w:rsidR="00F36C3A" w:rsidRPr="00ED1038" w:rsidRDefault="00F36C3A" w:rsidP="00CE41E7">
      <w:pPr>
        <w:spacing w:after="0" w:line="240" w:lineRule="auto"/>
        <w:ind w:left="720" w:hanging="720"/>
        <w:jc w:val="both"/>
        <w:rPr>
          <w:rFonts w:ascii="Arial" w:eastAsia="Times New Roman" w:hAnsi="Arial" w:cs="Arial"/>
          <w:sz w:val="20"/>
          <w:szCs w:val="20"/>
        </w:rPr>
      </w:pPr>
    </w:p>
    <w:p w14:paraId="23322916" w14:textId="10DB6DBB" w:rsidR="00E04312" w:rsidRPr="00ED1038" w:rsidRDefault="00E448E5" w:rsidP="00CE41E7">
      <w:pPr>
        <w:tabs>
          <w:tab w:val="left" w:pos="1134"/>
          <w:tab w:val="left" w:pos="2304"/>
          <w:tab w:val="left" w:pos="2880"/>
          <w:tab w:val="left" w:pos="8647"/>
        </w:tabs>
        <w:spacing w:after="0" w:line="240" w:lineRule="auto"/>
        <w:ind w:left="720" w:hanging="720"/>
        <w:jc w:val="both"/>
        <w:rPr>
          <w:rFonts w:ascii="Arial" w:eastAsia="Times New Roman" w:hAnsi="Arial" w:cs="Arial"/>
          <w:sz w:val="20"/>
          <w:szCs w:val="20"/>
        </w:rPr>
      </w:pPr>
      <w:r w:rsidRPr="00ED1038">
        <w:rPr>
          <w:rFonts w:ascii="Arial" w:eastAsia="Times New Roman" w:hAnsi="Arial" w:cs="Arial"/>
          <w:sz w:val="20"/>
          <w:szCs w:val="20"/>
        </w:rPr>
        <w:t>8</w:t>
      </w:r>
      <w:r w:rsidR="00630FDE" w:rsidRPr="00ED1038">
        <w:rPr>
          <w:rFonts w:ascii="Arial" w:eastAsia="Times New Roman" w:hAnsi="Arial" w:cs="Arial"/>
          <w:sz w:val="20"/>
          <w:szCs w:val="20"/>
        </w:rPr>
        <w:tab/>
      </w:r>
      <w:r w:rsidR="00630FDE" w:rsidRPr="00ED1038">
        <w:rPr>
          <w:rFonts w:ascii="Arial" w:eastAsia="Times New Roman" w:hAnsi="Arial" w:cs="Arial"/>
          <w:b/>
          <w:sz w:val="20"/>
          <w:szCs w:val="20"/>
        </w:rPr>
        <w:t>WELFARE REFORM</w:t>
      </w:r>
      <w:r w:rsidR="00E32C16" w:rsidRPr="00ED1038">
        <w:rPr>
          <w:rFonts w:ascii="Arial" w:eastAsia="Times New Roman" w:hAnsi="Arial" w:cs="Arial"/>
          <w:b/>
          <w:sz w:val="20"/>
          <w:szCs w:val="20"/>
        </w:rPr>
        <w:t xml:space="preserve"> </w:t>
      </w:r>
    </w:p>
    <w:p w14:paraId="55A84729" w14:textId="77777777" w:rsidR="009950AE" w:rsidRPr="00ED1038" w:rsidRDefault="009950AE" w:rsidP="00CE41E7">
      <w:pPr>
        <w:spacing w:after="0" w:line="240" w:lineRule="auto"/>
        <w:ind w:left="720" w:hanging="720"/>
        <w:jc w:val="both"/>
        <w:rPr>
          <w:rFonts w:ascii="Arial" w:hAnsi="Arial" w:cs="Arial"/>
          <w:color w:val="000000"/>
          <w:sz w:val="20"/>
          <w:szCs w:val="20"/>
        </w:rPr>
      </w:pPr>
    </w:p>
    <w:p w14:paraId="6533203B" w14:textId="10126435" w:rsidR="004B4B76" w:rsidRPr="00ED1038" w:rsidRDefault="009950AE" w:rsidP="004B4B76">
      <w:pPr>
        <w:spacing w:after="0" w:line="240" w:lineRule="auto"/>
        <w:ind w:left="720" w:hanging="720"/>
        <w:jc w:val="both"/>
        <w:rPr>
          <w:rFonts w:ascii="Arial" w:hAnsi="Arial" w:cs="Arial"/>
          <w:bCs/>
          <w:sz w:val="20"/>
          <w:szCs w:val="20"/>
        </w:rPr>
      </w:pPr>
      <w:r w:rsidRPr="00ED1038">
        <w:rPr>
          <w:rFonts w:ascii="Arial" w:hAnsi="Arial" w:cs="Arial"/>
          <w:color w:val="000000"/>
          <w:sz w:val="20"/>
          <w:szCs w:val="20"/>
        </w:rPr>
        <w:t>8.1</w:t>
      </w:r>
      <w:r w:rsidRPr="00ED1038">
        <w:rPr>
          <w:rFonts w:ascii="Arial" w:hAnsi="Arial" w:cs="Arial"/>
          <w:color w:val="000000"/>
          <w:sz w:val="20"/>
          <w:szCs w:val="20"/>
        </w:rPr>
        <w:tab/>
      </w:r>
      <w:r w:rsidR="004B4B76" w:rsidRPr="00ED1038">
        <w:rPr>
          <w:rFonts w:ascii="Arial" w:hAnsi="Arial" w:cs="Arial"/>
          <w:bCs/>
          <w:sz w:val="20"/>
          <w:szCs w:val="20"/>
        </w:rPr>
        <w:t>The under-occupancy (more commonly known as the Bedroom Tax) charge continues to be fully mitigated by the Scottish Government. (£2,661,722 for year ending 2021/22).  Since 2014/15, mitigation has been provided to the value of £16,572,068.</w:t>
      </w:r>
    </w:p>
    <w:p w14:paraId="5F45B3DF" w14:textId="77777777" w:rsidR="004B4B76" w:rsidRPr="00ED1038" w:rsidRDefault="004B4B76" w:rsidP="004B4B76">
      <w:pPr>
        <w:spacing w:after="0" w:line="240" w:lineRule="auto"/>
        <w:ind w:left="720" w:hanging="720"/>
        <w:jc w:val="both"/>
        <w:rPr>
          <w:rFonts w:ascii="Arial" w:eastAsiaTheme="minorHAnsi" w:hAnsi="Arial" w:cs="Arial"/>
          <w:bCs/>
          <w:sz w:val="20"/>
          <w:szCs w:val="20"/>
          <w:lang w:eastAsia="en-GB"/>
        </w:rPr>
      </w:pPr>
    </w:p>
    <w:p w14:paraId="0075C6C7" w14:textId="0D826E28" w:rsidR="004B4B76" w:rsidRPr="00ED1038" w:rsidRDefault="004B4B76" w:rsidP="004B4B76">
      <w:pPr>
        <w:spacing w:after="0" w:line="240" w:lineRule="auto"/>
        <w:ind w:left="720"/>
        <w:jc w:val="both"/>
        <w:rPr>
          <w:rFonts w:ascii="Arial" w:hAnsi="Arial" w:cs="Arial"/>
          <w:bCs/>
          <w:sz w:val="20"/>
          <w:szCs w:val="20"/>
        </w:rPr>
      </w:pPr>
      <w:r w:rsidRPr="00ED1038">
        <w:rPr>
          <w:rFonts w:ascii="Arial" w:hAnsi="Arial" w:cs="Arial"/>
          <w:bCs/>
          <w:sz w:val="20"/>
          <w:szCs w:val="20"/>
        </w:rPr>
        <w:t>The funding provided by the Scottish Government is included within the General Fund Revenue Budget.</w:t>
      </w:r>
    </w:p>
    <w:p w14:paraId="5FC89C2B" w14:textId="2E1BFAD5" w:rsidR="004B4B76" w:rsidRPr="00ED1038" w:rsidRDefault="004B4B76" w:rsidP="004B4B76">
      <w:pPr>
        <w:spacing w:after="0" w:line="240" w:lineRule="auto"/>
        <w:ind w:left="720"/>
        <w:jc w:val="both"/>
        <w:rPr>
          <w:rFonts w:ascii="Arial" w:hAnsi="Arial" w:cs="Arial"/>
          <w:sz w:val="20"/>
          <w:szCs w:val="20"/>
        </w:rPr>
      </w:pPr>
    </w:p>
    <w:p w14:paraId="027295B9" w14:textId="5E5AD8C1" w:rsidR="004B4B76" w:rsidRPr="00ED1038" w:rsidRDefault="004B4B76" w:rsidP="004B4B76">
      <w:pPr>
        <w:spacing w:after="0" w:line="240" w:lineRule="auto"/>
        <w:ind w:left="720"/>
        <w:jc w:val="both"/>
        <w:rPr>
          <w:rFonts w:ascii="Arial" w:hAnsi="Arial" w:cs="Arial"/>
          <w:bCs/>
          <w:sz w:val="20"/>
          <w:szCs w:val="20"/>
        </w:rPr>
      </w:pPr>
      <w:r w:rsidRPr="00ED1038">
        <w:rPr>
          <w:rFonts w:ascii="Arial" w:hAnsi="Arial" w:cs="Arial"/>
          <w:bCs/>
          <w:sz w:val="20"/>
          <w:szCs w:val="20"/>
        </w:rPr>
        <w:t xml:space="preserve">In financial year 2021/22 Scottish Government has announced a £10m grant fund to support private and social rented tenants who have incurred rent arrears as a direct result of the </w:t>
      </w:r>
      <w:proofErr w:type="spellStart"/>
      <w:r w:rsidRPr="00ED1038">
        <w:rPr>
          <w:rFonts w:ascii="Arial" w:hAnsi="Arial" w:cs="Arial"/>
          <w:bCs/>
          <w:sz w:val="20"/>
          <w:szCs w:val="20"/>
        </w:rPr>
        <w:t>Covid</w:t>
      </w:r>
      <w:proofErr w:type="spellEnd"/>
      <w:r w:rsidRPr="00ED1038">
        <w:rPr>
          <w:rFonts w:ascii="Arial" w:hAnsi="Arial" w:cs="Arial"/>
          <w:bCs/>
          <w:sz w:val="20"/>
          <w:szCs w:val="20"/>
        </w:rPr>
        <w:t xml:space="preserve"> 19 pandemic.  Dundee has been allocated £358,000 to support tenants and landlords who are willing to work together to agree a repayment plan to prevent home loss.</w:t>
      </w:r>
    </w:p>
    <w:p w14:paraId="4F3C7B81" w14:textId="77777777" w:rsidR="004B4B76" w:rsidRPr="00ED1038" w:rsidRDefault="004B4B76" w:rsidP="004B4B76">
      <w:pPr>
        <w:spacing w:after="0" w:line="240" w:lineRule="auto"/>
        <w:ind w:left="720"/>
        <w:jc w:val="both"/>
        <w:rPr>
          <w:rFonts w:ascii="Arial" w:hAnsi="Arial" w:cs="Arial"/>
          <w:bCs/>
          <w:sz w:val="20"/>
          <w:szCs w:val="20"/>
        </w:rPr>
      </w:pPr>
    </w:p>
    <w:p w14:paraId="6840C2C3" w14:textId="5E3A5C99" w:rsidR="004B4B76" w:rsidRPr="00ED1038" w:rsidRDefault="004B4B76" w:rsidP="004B4B76">
      <w:pPr>
        <w:spacing w:after="0" w:line="240" w:lineRule="auto"/>
        <w:ind w:left="720"/>
        <w:jc w:val="both"/>
        <w:rPr>
          <w:rFonts w:ascii="Arial" w:hAnsi="Arial" w:cs="Arial"/>
          <w:bCs/>
          <w:sz w:val="20"/>
          <w:szCs w:val="20"/>
        </w:rPr>
      </w:pPr>
      <w:r w:rsidRPr="00ED1038">
        <w:rPr>
          <w:rFonts w:ascii="Arial" w:hAnsi="Arial" w:cs="Arial"/>
          <w:bCs/>
          <w:sz w:val="20"/>
          <w:szCs w:val="20"/>
        </w:rPr>
        <w:t>Universal Credit Full Service continues to be rolled out and it is expected that full migration of cases from Housing Benefit to Universal Credit will not be complete until September 2024 at the earliest.  There are currently 4012 Local Authority tenants claiming Universal Credit and 2804 Local Authority tenants yet to migrate to Universal Credit.</w:t>
      </w:r>
    </w:p>
    <w:p w14:paraId="2DB2ACDB" w14:textId="3A9E291F" w:rsidR="004B4B76" w:rsidRPr="00ED1038" w:rsidRDefault="004B4B76" w:rsidP="004B4B76">
      <w:pPr>
        <w:spacing w:after="0" w:line="240" w:lineRule="auto"/>
        <w:ind w:left="720"/>
        <w:jc w:val="both"/>
        <w:rPr>
          <w:rFonts w:ascii="Arial" w:hAnsi="Arial" w:cs="Arial"/>
          <w:sz w:val="20"/>
          <w:szCs w:val="20"/>
        </w:rPr>
      </w:pPr>
    </w:p>
    <w:p w14:paraId="609C62C0" w14:textId="2C4BE4A3" w:rsidR="004B4B76" w:rsidRPr="00ED1038" w:rsidRDefault="004B4B76" w:rsidP="004B4B76">
      <w:pPr>
        <w:spacing w:after="0" w:line="240" w:lineRule="auto"/>
        <w:ind w:left="720"/>
        <w:jc w:val="both"/>
        <w:rPr>
          <w:rFonts w:ascii="Arial" w:hAnsi="Arial" w:cs="Arial"/>
          <w:bCs/>
          <w:sz w:val="20"/>
          <w:szCs w:val="20"/>
        </w:rPr>
      </w:pPr>
      <w:r w:rsidRPr="00ED1038">
        <w:rPr>
          <w:rFonts w:ascii="Arial" w:hAnsi="Arial" w:cs="Arial"/>
          <w:bCs/>
          <w:sz w:val="20"/>
          <w:szCs w:val="20"/>
        </w:rPr>
        <w:t>To support claimants during the pandemic there was a temporary increase to the Universal Credit standard allowance of £86.67 per month.  This increase will no longer be included in Universal Credit monthly awards after 5</w:t>
      </w:r>
      <w:r w:rsidRPr="00ED1038">
        <w:rPr>
          <w:rFonts w:ascii="Arial" w:hAnsi="Arial" w:cs="Arial"/>
          <w:bCs/>
          <w:sz w:val="20"/>
          <w:szCs w:val="20"/>
          <w:vertAlign w:val="superscript"/>
        </w:rPr>
        <w:t>th</w:t>
      </w:r>
      <w:r w:rsidRPr="00ED1038">
        <w:rPr>
          <w:rFonts w:ascii="Arial" w:hAnsi="Arial" w:cs="Arial"/>
          <w:bCs/>
          <w:sz w:val="20"/>
          <w:szCs w:val="20"/>
        </w:rPr>
        <w:t xml:space="preserve"> October 2021.  In addition to this the Coronavirus Job Retention Scheme (known as the Furlough Scheme), which was introduced in April 2020, is set to be withdrawn from 1 October 2021.</w:t>
      </w:r>
    </w:p>
    <w:p w14:paraId="33A3A543" w14:textId="2807CB4A" w:rsidR="004B4B76" w:rsidRPr="00ED1038" w:rsidRDefault="004B4B76" w:rsidP="004B4B76">
      <w:pPr>
        <w:spacing w:after="0" w:line="240" w:lineRule="auto"/>
        <w:ind w:left="720"/>
        <w:jc w:val="both"/>
        <w:rPr>
          <w:rFonts w:ascii="Arial" w:hAnsi="Arial" w:cs="Arial"/>
          <w:sz w:val="20"/>
          <w:szCs w:val="20"/>
        </w:rPr>
      </w:pPr>
    </w:p>
    <w:p w14:paraId="4E0EA874" w14:textId="768F185A" w:rsidR="004B4B76" w:rsidRPr="00ED1038" w:rsidRDefault="004B4B76" w:rsidP="004B4B76">
      <w:pPr>
        <w:spacing w:after="0" w:line="240" w:lineRule="auto"/>
        <w:ind w:left="720"/>
        <w:jc w:val="both"/>
        <w:rPr>
          <w:rFonts w:ascii="Arial" w:hAnsi="Arial" w:cs="Arial"/>
          <w:sz w:val="20"/>
          <w:szCs w:val="20"/>
        </w:rPr>
      </w:pPr>
      <w:r w:rsidRPr="00ED1038">
        <w:rPr>
          <w:rFonts w:ascii="Arial" w:hAnsi="Arial" w:cs="Arial"/>
          <w:bCs/>
          <w:sz w:val="20"/>
          <w:szCs w:val="20"/>
        </w:rPr>
        <w:t>Universal Credit continues to have an impact on the level of tenant rent arrears, this is monitored on an ongoing basis and support provided to tenants where appropriate.  The Benefit Cap continues to restrict the level of benefit households can receive and the Council’s Benefit Delivery and Advice Services Team work together to support tenants affected by the Cap.</w:t>
      </w:r>
    </w:p>
    <w:p w14:paraId="62B8592C" w14:textId="77777777" w:rsidR="004B4B76" w:rsidRPr="00ED1038" w:rsidRDefault="004B4B76" w:rsidP="00CE41E7">
      <w:pPr>
        <w:spacing w:after="0" w:line="240" w:lineRule="auto"/>
        <w:ind w:left="720" w:hanging="720"/>
        <w:jc w:val="both"/>
        <w:rPr>
          <w:rFonts w:ascii="Arial" w:hAnsi="Arial" w:cs="Arial"/>
          <w:color w:val="000000"/>
          <w:sz w:val="20"/>
          <w:szCs w:val="20"/>
        </w:rPr>
      </w:pPr>
    </w:p>
    <w:p w14:paraId="7DEC4516" w14:textId="29CA944A" w:rsidR="009950AE" w:rsidRPr="00ED1038" w:rsidRDefault="009950AE" w:rsidP="00CE41E7">
      <w:pPr>
        <w:spacing w:after="0" w:line="240" w:lineRule="auto"/>
        <w:ind w:left="720" w:hanging="720"/>
        <w:jc w:val="both"/>
        <w:rPr>
          <w:rFonts w:ascii="Arial" w:hAnsi="Arial" w:cs="Arial"/>
          <w:color w:val="000000"/>
          <w:sz w:val="20"/>
          <w:szCs w:val="20"/>
        </w:rPr>
      </w:pPr>
      <w:r w:rsidRPr="00ED1038">
        <w:rPr>
          <w:rFonts w:ascii="Arial" w:hAnsi="Arial" w:cs="Arial"/>
          <w:color w:val="000000"/>
          <w:sz w:val="20"/>
          <w:szCs w:val="20"/>
        </w:rPr>
        <w:t>8.2</w:t>
      </w:r>
      <w:r w:rsidRPr="00ED1038">
        <w:rPr>
          <w:rFonts w:ascii="Arial" w:hAnsi="Arial" w:cs="Arial"/>
          <w:color w:val="000000"/>
          <w:sz w:val="20"/>
          <w:szCs w:val="20"/>
        </w:rPr>
        <w:tab/>
        <w:t xml:space="preserve">The purpose of the Hardship Fund is to assist Council tenants suffering financial hardship in the payment of rent as a result of these Welfare Reforms. In order to continue to mitigate the </w:t>
      </w:r>
      <w:r w:rsidRPr="00ED1038">
        <w:rPr>
          <w:rFonts w:ascii="Arial" w:hAnsi="Arial" w:cs="Arial"/>
          <w:color w:val="000000"/>
          <w:sz w:val="20"/>
          <w:szCs w:val="20"/>
        </w:rPr>
        <w:lastRenderedPageBreak/>
        <w:t>impact of these reforms on council tenants, the provision for the Hardship Fund will remain at £500,000 for financial year 2022/23.</w:t>
      </w:r>
    </w:p>
    <w:p w14:paraId="2416C9E8" w14:textId="77777777" w:rsidR="00997FBD" w:rsidRPr="00ED1038" w:rsidRDefault="00997FBD" w:rsidP="00C27DC7">
      <w:pPr>
        <w:spacing w:after="0" w:line="240" w:lineRule="auto"/>
        <w:ind w:left="567" w:hanging="567"/>
        <w:jc w:val="both"/>
        <w:rPr>
          <w:rFonts w:ascii="Arial" w:hAnsi="Arial" w:cs="Arial"/>
          <w:color w:val="000000"/>
          <w:sz w:val="20"/>
          <w:szCs w:val="20"/>
        </w:rPr>
      </w:pPr>
    </w:p>
    <w:p w14:paraId="6A3FB6E3" w14:textId="3A5891F7" w:rsidR="00773F9D" w:rsidRPr="00ED1038" w:rsidRDefault="00773F9D" w:rsidP="00CE41E7">
      <w:pPr>
        <w:tabs>
          <w:tab w:val="left" w:pos="720"/>
          <w:tab w:val="left" w:pos="1440"/>
          <w:tab w:val="left" w:pos="2250"/>
        </w:tabs>
        <w:spacing w:after="0" w:line="240" w:lineRule="auto"/>
        <w:ind w:left="720" w:hanging="720"/>
        <w:jc w:val="both"/>
        <w:rPr>
          <w:rFonts w:ascii="Arial" w:hAnsi="Arial" w:cs="Arial"/>
          <w:sz w:val="20"/>
          <w:szCs w:val="20"/>
        </w:rPr>
      </w:pPr>
      <w:r w:rsidRPr="00ED1038">
        <w:rPr>
          <w:rFonts w:ascii="Arial" w:hAnsi="Arial" w:cs="Arial"/>
          <w:color w:val="000000"/>
          <w:sz w:val="20"/>
          <w:szCs w:val="20"/>
        </w:rPr>
        <w:t>8.3</w:t>
      </w:r>
      <w:r w:rsidRPr="00ED1038">
        <w:rPr>
          <w:rFonts w:ascii="Arial" w:hAnsi="Arial" w:cs="Arial"/>
          <w:color w:val="000000"/>
          <w:sz w:val="20"/>
          <w:szCs w:val="20"/>
        </w:rPr>
        <w:tab/>
        <w:t>Neighbourhood Services and Corporate Services are committed to supporting tenants in rent arrears.  As agreed on 27 September 2021 by Policy and Resources Committee, Neighbourhood Services intend to purchase additional Rent</w:t>
      </w:r>
      <w:r w:rsidR="00BF2D95" w:rsidRPr="00ED1038">
        <w:rPr>
          <w:rFonts w:ascii="Arial" w:hAnsi="Arial" w:cs="Arial"/>
          <w:color w:val="000000"/>
          <w:sz w:val="20"/>
          <w:szCs w:val="20"/>
        </w:rPr>
        <w:t>S</w:t>
      </w:r>
      <w:r w:rsidRPr="00ED1038">
        <w:rPr>
          <w:rFonts w:ascii="Arial" w:hAnsi="Arial" w:cs="Arial"/>
          <w:color w:val="000000"/>
          <w:sz w:val="20"/>
          <w:szCs w:val="20"/>
        </w:rPr>
        <w:t xml:space="preserve">ense software which will </w:t>
      </w:r>
      <w:r w:rsidRPr="00ED1038">
        <w:rPr>
          <w:rFonts w:ascii="Arial" w:eastAsia="Times New Roman" w:hAnsi="Arial" w:cs="Arial"/>
          <w:sz w:val="20"/>
          <w:szCs w:val="20"/>
        </w:rPr>
        <w:t xml:space="preserve">support the Corporate Debt Team in the collection of rent arrears, </w:t>
      </w:r>
      <w:r w:rsidR="00BF2D95" w:rsidRPr="00ED1038">
        <w:rPr>
          <w:rFonts w:ascii="Arial" w:eastAsia="Times New Roman" w:hAnsi="Arial" w:cs="Arial"/>
          <w:sz w:val="20"/>
          <w:szCs w:val="20"/>
        </w:rPr>
        <w:t>as it can</w:t>
      </w:r>
      <w:r w:rsidRPr="00ED1038">
        <w:rPr>
          <w:rFonts w:ascii="Arial" w:hAnsi="Arial" w:cs="Arial"/>
          <w:sz w:val="20"/>
          <w:szCs w:val="20"/>
        </w:rPr>
        <w:t xml:space="preserve"> provide a unique social housing intelligence software application to assist landlords protect and maximise revenues, mitigate welfare reform and embed efficiencies.</w:t>
      </w:r>
    </w:p>
    <w:p w14:paraId="72E4731E" w14:textId="77777777" w:rsidR="00997FBD" w:rsidRPr="00ED1038" w:rsidRDefault="00997FBD" w:rsidP="00C27DC7">
      <w:pPr>
        <w:tabs>
          <w:tab w:val="left" w:pos="720"/>
          <w:tab w:val="left" w:pos="1440"/>
          <w:tab w:val="left" w:pos="2250"/>
        </w:tabs>
        <w:spacing w:after="0" w:line="240" w:lineRule="auto"/>
        <w:ind w:left="562" w:hanging="562"/>
        <w:jc w:val="both"/>
        <w:rPr>
          <w:rFonts w:ascii="Arial" w:hAnsi="Arial" w:cs="Arial"/>
          <w:sz w:val="20"/>
          <w:szCs w:val="20"/>
        </w:rPr>
      </w:pPr>
    </w:p>
    <w:p w14:paraId="1689F771" w14:textId="484097BF" w:rsidR="00773F9D" w:rsidRPr="00ED1038" w:rsidRDefault="00773F9D" w:rsidP="00CE41E7">
      <w:pPr>
        <w:ind w:left="720"/>
        <w:rPr>
          <w:rFonts w:ascii="Arial" w:hAnsi="Arial" w:cs="Arial"/>
          <w:sz w:val="20"/>
          <w:szCs w:val="20"/>
        </w:rPr>
      </w:pPr>
      <w:r w:rsidRPr="00ED1038">
        <w:rPr>
          <w:rFonts w:ascii="Arial" w:hAnsi="Arial" w:cs="Arial"/>
          <w:sz w:val="20"/>
          <w:szCs w:val="20"/>
        </w:rPr>
        <w:t>Rent</w:t>
      </w:r>
      <w:r w:rsidR="00BF2D95" w:rsidRPr="00ED1038">
        <w:rPr>
          <w:rFonts w:ascii="Arial" w:hAnsi="Arial" w:cs="Arial"/>
          <w:sz w:val="20"/>
          <w:szCs w:val="20"/>
        </w:rPr>
        <w:t>S</w:t>
      </w:r>
      <w:r w:rsidRPr="00ED1038">
        <w:rPr>
          <w:rFonts w:ascii="Arial" w:hAnsi="Arial" w:cs="Arial"/>
          <w:sz w:val="20"/>
          <w:szCs w:val="20"/>
        </w:rPr>
        <w:t>ense has a proven track record and works with several Scottish Local Authorities including Perth &amp; Kinross &amp; Fife Councils both of whom have recommended RentSense.</w:t>
      </w:r>
    </w:p>
    <w:p w14:paraId="4D8DFEBA" w14:textId="77777777" w:rsidR="00997FBD" w:rsidRPr="00ED1038" w:rsidRDefault="00997FBD" w:rsidP="00C27DC7">
      <w:pPr>
        <w:spacing w:after="0" w:line="240" w:lineRule="auto"/>
        <w:ind w:left="540"/>
        <w:jc w:val="both"/>
        <w:rPr>
          <w:rFonts w:ascii="Arial" w:hAnsi="Arial" w:cs="Arial"/>
          <w:sz w:val="20"/>
          <w:szCs w:val="20"/>
        </w:rPr>
      </w:pPr>
    </w:p>
    <w:p w14:paraId="19A35805" w14:textId="33EC4B24" w:rsidR="00ED1927" w:rsidRPr="00ED1038" w:rsidRDefault="00630FDE" w:rsidP="00CE41E7">
      <w:pPr>
        <w:pStyle w:val="ListParagraph"/>
        <w:numPr>
          <w:ilvl w:val="0"/>
          <w:numId w:val="22"/>
        </w:numPr>
        <w:tabs>
          <w:tab w:val="left" w:pos="1134"/>
          <w:tab w:val="left" w:pos="2304"/>
          <w:tab w:val="left" w:pos="2880"/>
          <w:tab w:val="left" w:pos="8647"/>
        </w:tabs>
        <w:spacing w:after="0" w:line="240" w:lineRule="auto"/>
        <w:ind w:hanging="720"/>
        <w:jc w:val="both"/>
        <w:rPr>
          <w:rFonts w:ascii="Arial" w:eastAsia="Times New Roman" w:hAnsi="Arial" w:cs="Arial"/>
          <w:sz w:val="20"/>
          <w:szCs w:val="20"/>
        </w:rPr>
      </w:pPr>
      <w:r w:rsidRPr="00ED1038">
        <w:rPr>
          <w:rFonts w:ascii="Arial" w:eastAsia="Times New Roman" w:hAnsi="Arial" w:cs="Arial"/>
          <w:b/>
          <w:sz w:val="20"/>
          <w:szCs w:val="20"/>
        </w:rPr>
        <w:t>PROVISIONAL REVENUE BUDGETS 202</w:t>
      </w:r>
      <w:r w:rsidR="00C47ABB" w:rsidRPr="00ED1038">
        <w:rPr>
          <w:rFonts w:ascii="Arial" w:eastAsia="Times New Roman" w:hAnsi="Arial" w:cs="Arial"/>
          <w:b/>
          <w:sz w:val="20"/>
          <w:szCs w:val="20"/>
        </w:rPr>
        <w:t>3</w:t>
      </w:r>
      <w:r w:rsidRPr="00ED1038">
        <w:rPr>
          <w:rFonts w:ascii="Arial" w:eastAsia="Times New Roman" w:hAnsi="Arial" w:cs="Arial"/>
          <w:b/>
          <w:sz w:val="20"/>
          <w:szCs w:val="20"/>
        </w:rPr>
        <w:t>/2</w:t>
      </w:r>
      <w:r w:rsidR="00C47ABB" w:rsidRPr="00ED1038">
        <w:rPr>
          <w:rFonts w:ascii="Arial" w:eastAsia="Times New Roman" w:hAnsi="Arial" w:cs="Arial"/>
          <w:b/>
          <w:sz w:val="20"/>
          <w:szCs w:val="20"/>
        </w:rPr>
        <w:t>4</w:t>
      </w:r>
      <w:r w:rsidRPr="00ED1038">
        <w:rPr>
          <w:rFonts w:ascii="Arial" w:eastAsia="Times New Roman" w:hAnsi="Arial" w:cs="Arial"/>
          <w:b/>
          <w:sz w:val="20"/>
          <w:szCs w:val="20"/>
        </w:rPr>
        <w:t xml:space="preserve"> &amp; 202</w:t>
      </w:r>
      <w:r w:rsidR="00C47ABB" w:rsidRPr="00ED1038">
        <w:rPr>
          <w:rFonts w:ascii="Arial" w:eastAsia="Times New Roman" w:hAnsi="Arial" w:cs="Arial"/>
          <w:b/>
          <w:sz w:val="20"/>
          <w:szCs w:val="20"/>
        </w:rPr>
        <w:t>4</w:t>
      </w:r>
      <w:r w:rsidRPr="00ED1038">
        <w:rPr>
          <w:rFonts w:ascii="Arial" w:eastAsia="Times New Roman" w:hAnsi="Arial" w:cs="Arial"/>
          <w:b/>
          <w:sz w:val="20"/>
          <w:szCs w:val="20"/>
        </w:rPr>
        <w:t>/2</w:t>
      </w:r>
      <w:r w:rsidR="00C47ABB" w:rsidRPr="00ED1038">
        <w:rPr>
          <w:rFonts w:ascii="Arial" w:eastAsia="Times New Roman" w:hAnsi="Arial" w:cs="Arial"/>
          <w:b/>
          <w:sz w:val="20"/>
          <w:szCs w:val="20"/>
        </w:rPr>
        <w:t>5</w:t>
      </w:r>
    </w:p>
    <w:p w14:paraId="744E4737" w14:textId="77777777" w:rsidR="006B7E45" w:rsidRPr="00ED1038" w:rsidRDefault="006B7E45" w:rsidP="00C27DC7">
      <w:pPr>
        <w:tabs>
          <w:tab w:val="left" w:pos="1134"/>
          <w:tab w:val="left" w:pos="2304"/>
          <w:tab w:val="left" w:pos="2880"/>
          <w:tab w:val="left" w:pos="8647"/>
        </w:tabs>
        <w:spacing w:after="0" w:line="240" w:lineRule="auto"/>
        <w:jc w:val="both"/>
        <w:rPr>
          <w:rFonts w:ascii="Arial" w:eastAsia="Times New Roman" w:hAnsi="Arial" w:cs="Arial"/>
          <w:sz w:val="20"/>
          <w:szCs w:val="20"/>
        </w:rPr>
      </w:pPr>
      <w:bookmarkStart w:id="0" w:name="_Hlk83128806"/>
    </w:p>
    <w:p w14:paraId="0DDF9D2D" w14:textId="613F26B9" w:rsidR="00ED1927" w:rsidRPr="00ED1038" w:rsidRDefault="006B7E45" w:rsidP="00CE41E7">
      <w:pPr>
        <w:tabs>
          <w:tab w:val="left" w:pos="1134"/>
          <w:tab w:val="left" w:pos="2304"/>
          <w:tab w:val="left" w:pos="2880"/>
          <w:tab w:val="left" w:pos="8647"/>
        </w:tabs>
        <w:spacing w:after="0" w:line="240" w:lineRule="auto"/>
        <w:ind w:left="720" w:hanging="720"/>
        <w:jc w:val="both"/>
        <w:rPr>
          <w:rFonts w:ascii="Arial" w:eastAsia="Times New Roman" w:hAnsi="Arial" w:cs="Arial"/>
          <w:color w:val="000000" w:themeColor="text1"/>
          <w:sz w:val="20"/>
          <w:szCs w:val="20"/>
        </w:rPr>
      </w:pPr>
      <w:r w:rsidRPr="00ED1038">
        <w:rPr>
          <w:rFonts w:ascii="Arial" w:eastAsia="Times New Roman" w:hAnsi="Arial" w:cs="Arial"/>
          <w:sz w:val="20"/>
          <w:szCs w:val="20"/>
        </w:rPr>
        <w:t>9.1</w:t>
      </w:r>
      <w:r w:rsidR="00997FBD" w:rsidRPr="00ED1038">
        <w:rPr>
          <w:rFonts w:ascii="Arial" w:eastAsia="Times New Roman" w:hAnsi="Arial" w:cs="Arial"/>
          <w:sz w:val="20"/>
          <w:szCs w:val="20"/>
        </w:rPr>
        <w:tab/>
      </w:r>
      <w:r w:rsidRPr="00ED1038">
        <w:rPr>
          <w:rFonts w:ascii="Arial" w:eastAsia="Times New Roman" w:hAnsi="Arial" w:cs="Arial"/>
          <w:sz w:val="20"/>
          <w:szCs w:val="20"/>
        </w:rPr>
        <w:t>In line with last financial year, Provisional Revenue Budgets for 2023/24 and 2024/25 are detailed within Appendix 1 of this report.  These budgets include an estimated allowance of 2.00% for a pay award for all staff.  Provision has also been included for other specific and general price inflation, where appropriate.</w:t>
      </w:r>
    </w:p>
    <w:p w14:paraId="24A8C112" w14:textId="77777777" w:rsidR="006B7E45" w:rsidRPr="00ED1038" w:rsidRDefault="006B7E45" w:rsidP="00CE41E7">
      <w:pPr>
        <w:pStyle w:val="ListParagraph"/>
        <w:tabs>
          <w:tab w:val="left" w:pos="1134"/>
          <w:tab w:val="left" w:pos="2304"/>
          <w:tab w:val="left" w:pos="2880"/>
          <w:tab w:val="left" w:pos="8647"/>
        </w:tabs>
        <w:spacing w:after="0" w:line="240" w:lineRule="auto"/>
        <w:ind w:hanging="720"/>
        <w:jc w:val="both"/>
        <w:rPr>
          <w:rFonts w:ascii="Arial" w:eastAsia="Times New Roman" w:hAnsi="Arial" w:cs="Arial"/>
          <w:color w:val="000000" w:themeColor="text1"/>
          <w:sz w:val="20"/>
          <w:szCs w:val="20"/>
        </w:rPr>
      </w:pPr>
    </w:p>
    <w:p w14:paraId="13B2AE89" w14:textId="4EBD629E" w:rsidR="00ED1927" w:rsidRPr="00ED1038" w:rsidRDefault="00E32C16" w:rsidP="00CE41E7">
      <w:pPr>
        <w:pStyle w:val="ListParagraph"/>
        <w:numPr>
          <w:ilvl w:val="1"/>
          <w:numId w:val="15"/>
        </w:numPr>
        <w:tabs>
          <w:tab w:val="left" w:pos="1134"/>
          <w:tab w:val="left" w:pos="2304"/>
          <w:tab w:val="left" w:pos="2880"/>
          <w:tab w:val="left" w:pos="8647"/>
        </w:tabs>
        <w:spacing w:after="0" w:line="240" w:lineRule="auto"/>
        <w:ind w:left="720" w:hanging="720"/>
        <w:jc w:val="both"/>
        <w:rPr>
          <w:rFonts w:ascii="Arial" w:eastAsia="Times New Roman" w:hAnsi="Arial" w:cs="Arial"/>
          <w:color w:val="000000" w:themeColor="text1"/>
          <w:sz w:val="20"/>
          <w:szCs w:val="20"/>
        </w:rPr>
      </w:pPr>
      <w:r w:rsidRPr="00ED1038">
        <w:rPr>
          <w:rFonts w:ascii="Arial" w:eastAsia="Times New Roman" w:hAnsi="Arial" w:cs="Arial"/>
          <w:color w:val="000000" w:themeColor="text1"/>
          <w:sz w:val="20"/>
          <w:szCs w:val="20"/>
        </w:rPr>
        <w:t>These budgets assume the estimated level of capital financing costs that will arise as a result of the planned significant investments included in the latest Housing HRA Capital Plan</w:t>
      </w:r>
      <w:r w:rsidR="00A8046D" w:rsidRPr="00ED1038">
        <w:rPr>
          <w:rFonts w:ascii="Arial" w:eastAsia="Times New Roman" w:hAnsi="Arial" w:cs="Arial"/>
          <w:color w:val="000000" w:themeColor="text1"/>
          <w:sz w:val="20"/>
          <w:szCs w:val="20"/>
        </w:rPr>
        <w:t xml:space="preserve"> 202</w:t>
      </w:r>
      <w:r w:rsidR="00E36418" w:rsidRPr="00ED1038">
        <w:rPr>
          <w:rFonts w:ascii="Arial" w:eastAsia="Times New Roman" w:hAnsi="Arial" w:cs="Arial"/>
          <w:color w:val="000000" w:themeColor="text1"/>
          <w:sz w:val="20"/>
          <w:szCs w:val="20"/>
        </w:rPr>
        <w:t>1</w:t>
      </w:r>
      <w:r w:rsidR="00A8046D" w:rsidRPr="00ED1038">
        <w:rPr>
          <w:rFonts w:ascii="Arial" w:eastAsia="Times New Roman" w:hAnsi="Arial" w:cs="Arial"/>
          <w:color w:val="000000" w:themeColor="text1"/>
          <w:sz w:val="20"/>
          <w:szCs w:val="20"/>
        </w:rPr>
        <w:t>-2</w:t>
      </w:r>
      <w:r w:rsidR="00E36418" w:rsidRPr="00ED1038">
        <w:rPr>
          <w:rFonts w:ascii="Arial" w:eastAsia="Times New Roman" w:hAnsi="Arial" w:cs="Arial"/>
          <w:color w:val="000000" w:themeColor="text1"/>
          <w:sz w:val="20"/>
          <w:szCs w:val="20"/>
        </w:rPr>
        <w:t>6</w:t>
      </w:r>
      <w:r w:rsidRPr="00ED1038">
        <w:rPr>
          <w:rFonts w:ascii="Arial" w:eastAsia="Times New Roman" w:hAnsi="Arial" w:cs="Arial"/>
          <w:color w:val="000000" w:themeColor="text1"/>
          <w:sz w:val="20"/>
          <w:szCs w:val="20"/>
        </w:rPr>
        <w:t xml:space="preserve">.  This includes the delivery of key housing investment priorities such as maintaining council houses at Scottish Housing Quality Standard by </w:t>
      </w:r>
      <w:r w:rsidR="0018181D" w:rsidRPr="00ED1038">
        <w:rPr>
          <w:rFonts w:ascii="Arial" w:eastAsia="Times New Roman" w:hAnsi="Arial" w:cs="Arial"/>
          <w:color w:val="000000" w:themeColor="text1"/>
          <w:sz w:val="20"/>
          <w:szCs w:val="20"/>
        </w:rPr>
        <w:t>i</w:t>
      </w:r>
      <w:r w:rsidRPr="00ED1038">
        <w:rPr>
          <w:rFonts w:ascii="Arial" w:eastAsia="Times New Roman" w:hAnsi="Arial" w:cs="Arial"/>
          <w:color w:val="000000" w:themeColor="text1"/>
          <w:sz w:val="20"/>
          <w:szCs w:val="20"/>
        </w:rPr>
        <w:t>nstalling new windows</w:t>
      </w:r>
      <w:r w:rsidR="0051027C" w:rsidRPr="00ED1038">
        <w:rPr>
          <w:rFonts w:ascii="Arial" w:eastAsia="Times New Roman" w:hAnsi="Arial" w:cs="Arial"/>
          <w:color w:val="000000" w:themeColor="text1"/>
          <w:sz w:val="20"/>
          <w:szCs w:val="20"/>
        </w:rPr>
        <w:t xml:space="preserve">, heating and </w:t>
      </w:r>
      <w:r w:rsidRPr="00ED1038">
        <w:rPr>
          <w:rFonts w:ascii="Arial" w:eastAsia="Times New Roman" w:hAnsi="Arial" w:cs="Arial"/>
          <w:color w:val="000000" w:themeColor="text1"/>
          <w:sz w:val="20"/>
          <w:szCs w:val="20"/>
        </w:rPr>
        <w:t>roof replacement</w:t>
      </w:r>
      <w:r w:rsidR="0051027C" w:rsidRPr="00ED1038">
        <w:rPr>
          <w:rFonts w:ascii="Arial" w:eastAsia="Times New Roman" w:hAnsi="Arial" w:cs="Arial"/>
          <w:color w:val="000000" w:themeColor="text1"/>
          <w:sz w:val="20"/>
          <w:szCs w:val="20"/>
        </w:rPr>
        <w:t xml:space="preserve">. </w:t>
      </w:r>
      <w:r w:rsidRPr="00ED1038">
        <w:rPr>
          <w:rFonts w:ascii="Arial" w:eastAsia="Times New Roman" w:hAnsi="Arial" w:cs="Arial"/>
          <w:color w:val="000000" w:themeColor="text1"/>
          <w:sz w:val="20"/>
          <w:szCs w:val="20"/>
        </w:rPr>
        <w:t xml:space="preserve">The programme includes provision to help reduce fuel poverty by progressing towards meeting the Energy Efficiency Standard in Social Housing for all council houses by installing </w:t>
      </w:r>
      <w:r w:rsidR="0051027C" w:rsidRPr="00ED1038">
        <w:rPr>
          <w:rFonts w:ascii="Arial" w:eastAsia="Times New Roman" w:hAnsi="Arial" w:cs="Arial"/>
          <w:color w:val="000000" w:themeColor="text1"/>
          <w:sz w:val="20"/>
          <w:szCs w:val="20"/>
        </w:rPr>
        <w:t>external wall</w:t>
      </w:r>
      <w:r w:rsidRPr="00ED1038">
        <w:rPr>
          <w:rFonts w:ascii="Arial" w:eastAsia="Times New Roman" w:hAnsi="Arial" w:cs="Arial"/>
          <w:color w:val="000000" w:themeColor="text1"/>
          <w:sz w:val="20"/>
          <w:szCs w:val="20"/>
        </w:rPr>
        <w:t xml:space="preserve"> insulation to a</w:t>
      </w:r>
      <w:r w:rsidR="00ED5A59" w:rsidRPr="00ED1038">
        <w:rPr>
          <w:rFonts w:ascii="Arial" w:eastAsia="Times New Roman" w:hAnsi="Arial" w:cs="Arial"/>
          <w:color w:val="000000" w:themeColor="text1"/>
          <w:sz w:val="20"/>
          <w:szCs w:val="20"/>
        </w:rPr>
        <w:t xml:space="preserve">pproximately a further </w:t>
      </w:r>
      <w:r w:rsidRPr="00ED1038">
        <w:rPr>
          <w:rFonts w:ascii="Arial" w:eastAsia="Times New Roman" w:hAnsi="Arial" w:cs="Arial"/>
          <w:color w:val="000000" w:themeColor="text1"/>
          <w:sz w:val="20"/>
          <w:szCs w:val="20"/>
        </w:rPr>
        <w:t>​</w:t>
      </w:r>
      <w:r w:rsidR="00A000B0" w:rsidRPr="00ED1038">
        <w:rPr>
          <w:rFonts w:ascii="Arial" w:eastAsia="Times New Roman" w:hAnsi="Arial" w:cs="Arial"/>
          <w:color w:val="000000" w:themeColor="text1"/>
          <w:sz w:val="20"/>
          <w:szCs w:val="20"/>
        </w:rPr>
        <w:t>1200</w:t>
      </w:r>
      <w:r w:rsidRPr="00ED1038">
        <w:rPr>
          <w:rFonts w:ascii="Arial" w:eastAsia="Times New Roman" w:hAnsi="Arial" w:cs="Arial"/>
          <w:color w:val="000000" w:themeColor="text1"/>
          <w:sz w:val="20"/>
          <w:szCs w:val="20"/>
        </w:rPr>
        <w:t xml:space="preserve"> homes.  The latest Scottish Household Survey data indicates the progress of this investment as over the last ​9 years overall fuel poverty levels have reduced by ​10% to 3</w:t>
      </w:r>
      <w:r w:rsidR="00ED5A59" w:rsidRPr="00ED1038">
        <w:rPr>
          <w:rFonts w:ascii="Arial" w:eastAsia="Times New Roman" w:hAnsi="Arial" w:cs="Arial"/>
          <w:color w:val="000000" w:themeColor="text1"/>
          <w:sz w:val="20"/>
          <w:szCs w:val="20"/>
        </w:rPr>
        <w:t>1</w:t>
      </w:r>
      <w:r w:rsidRPr="00ED1038">
        <w:rPr>
          <w:rFonts w:ascii="Arial" w:eastAsia="Times New Roman" w:hAnsi="Arial" w:cs="Arial"/>
          <w:color w:val="000000" w:themeColor="text1"/>
          <w:sz w:val="20"/>
          <w:szCs w:val="20"/>
        </w:rPr>
        <w:t>%.</w:t>
      </w:r>
    </w:p>
    <w:p w14:paraId="1B5770C8" w14:textId="77777777" w:rsidR="00ED1927" w:rsidRPr="00ED1038" w:rsidRDefault="00ED1927" w:rsidP="00C27DC7">
      <w:pPr>
        <w:pStyle w:val="ListParagraph"/>
        <w:tabs>
          <w:tab w:val="left" w:pos="1134"/>
          <w:tab w:val="left" w:pos="2304"/>
          <w:tab w:val="left" w:pos="2880"/>
          <w:tab w:val="left" w:pos="8647"/>
        </w:tabs>
        <w:spacing w:after="0" w:line="240" w:lineRule="auto"/>
        <w:ind w:left="360"/>
        <w:jc w:val="both"/>
        <w:rPr>
          <w:rFonts w:ascii="Arial" w:eastAsia="Times New Roman" w:hAnsi="Arial" w:cs="Arial"/>
          <w:color w:val="000000" w:themeColor="text1"/>
          <w:sz w:val="20"/>
          <w:szCs w:val="20"/>
        </w:rPr>
      </w:pPr>
    </w:p>
    <w:p w14:paraId="3802A287" w14:textId="68680BA1" w:rsidR="00ED1927" w:rsidRPr="00ED1038" w:rsidRDefault="00ED1927" w:rsidP="00CE41E7">
      <w:pPr>
        <w:pStyle w:val="ListParagraph"/>
        <w:numPr>
          <w:ilvl w:val="1"/>
          <w:numId w:val="15"/>
        </w:numPr>
        <w:tabs>
          <w:tab w:val="left" w:pos="1134"/>
          <w:tab w:val="left" w:pos="2304"/>
          <w:tab w:val="left" w:pos="2880"/>
          <w:tab w:val="left" w:pos="8647"/>
        </w:tabs>
        <w:spacing w:after="0" w:line="240" w:lineRule="auto"/>
        <w:ind w:left="720" w:hanging="720"/>
        <w:jc w:val="both"/>
        <w:rPr>
          <w:rFonts w:ascii="Arial" w:eastAsia="Times New Roman" w:hAnsi="Arial" w:cs="Arial"/>
          <w:color w:val="000000" w:themeColor="text1"/>
          <w:sz w:val="20"/>
          <w:szCs w:val="20"/>
        </w:rPr>
      </w:pPr>
      <w:r w:rsidRPr="00ED1038">
        <w:rPr>
          <w:rFonts w:ascii="Arial" w:hAnsi="Arial" w:cs="Arial"/>
          <w:color w:val="000000" w:themeColor="text1"/>
          <w:sz w:val="20"/>
          <w:szCs w:val="20"/>
        </w:rPr>
        <w:t xml:space="preserve">In October 2020, Neighbourhood Services Committee approved additional borrowing capacity of net investment of £6.0m to increase the supply and delivery of additional units of affordable housing.  </w:t>
      </w:r>
      <w:r w:rsidRPr="00ED1038">
        <w:rPr>
          <w:rFonts w:ascii="Arial" w:hAnsi="Arial" w:cs="Arial"/>
          <w:sz w:val="20"/>
          <w:szCs w:val="20"/>
        </w:rPr>
        <w:t xml:space="preserve">The service is currently considering sites and developing an open market acquisition strategy for which it is intended the additional investment of £6,000,000 could be used to fund the delivery of whichever is most viable.  </w:t>
      </w:r>
      <w:r w:rsidRPr="00ED1038">
        <w:rPr>
          <w:rFonts w:ascii="Arial" w:eastAsia="Times New Roman" w:hAnsi="Arial" w:cs="Arial"/>
          <w:color w:val="000000" w:themeColor="text1"/>
          <w:sz w:val="20"/>
          <w:szCs w:val="20"/>
        </w:rPr>
        <w:t>In addition to this investment, t</w:t>
      </w:r>
      <w:r w:rsidR="00E32C16" w:rsidRPr="00ED1038">
        <w:rPr>
          <w:rFonts w:ascii="Arial" w:eastAsia="Times New Roman" w:hAnsi="Arial" w:cs="Arial"/>
          <w:color w:val="000000" w:themeColor="text1"/>
          <w:sz w:val="20"/>
          <w:szCs w:val="20"/>
        </w:rPr>
        <w:t xml:space="preserve">he continuation of the Council’s new build housing programme will include the completion of </w:t>
      </w:r>
      <w:r w:rsidR="00641850" w:rsidRPr="00ED1038">
        <w:rPr>
          <w:rFonts w:ascii="Arial" w:eastAsia="Times New Roman" w:hAnsi="Arial" w:cs="Arial"/>
          <w:color w:val="000000" w:themeColor="text1"/>
          <w:sz w:val="20"/>
          <w:szCs w:val="20"/>
        </w:rPr>
        <w:t xml:space="preserve">169 </w:t>
      </w:r>
      <w:r w:rsidR="00E32C16" w:rsidRPr="00ED1038">
        <w:rPr>
          <w:rFonts w:ascii="Arial" w:eastAsia="Times New Roman" w:hAnsi="Arial" w:cs="Arial"/>
          <w:color w:val="000000" w:themeColor="text1"/>
          <w:sz w:val="20"/>
          <w:szCs w:val="20"/>
        </w:rPr>
        <w:t>new homes</w:t>
      </w:r>
      <w:r w:rsidR="00641850" w:rsidRPr="00ED1038">
        <w:rPr>
          <w:rFonts w:ascii="Arial" w:eastAsia="Times New Roman" w:hAnsi="Arial" w:cs="Arial"/>
          <w:color w:val="000000" w:themeColor="text1"/>
          <w:sz w:val="20"/>
          <w:szCs w:val="20"/>
        </w:rPr>
        <w:t>.</w:t>
      </w:r>
    </w:p>
    <w:p w14:paraId="5821F360" w14:textId="77777777" w:rsidR="00ED1927" w:rsidRPr="00ED1038" w:rsidRDefault="00ED1927" w:rsidP="00CE41E7">
      <w:pPr>
        <w:pStyle w:val="ListParagraph"/>
        <w:spacing w:after="0" w:line="240" w:lineRule="auto"/>
        <w:ind w:hanging="720"/>
        <w:jc w:val="both"/>
        <w:rPr>
          <w:rFonts w:ascii="Arial" w:eastAsia="Times New Roman" w:hAnsi="Arial" w:cs="Arial"/>
          <w:color w:val="000000" w:themeColor="text1"/>
          <w:sz w:val="20"/>
          <w:szCs w:val="20"/>
        </w:rPr>
      </w:pPr>
    </w:p>
    <w:p w14:paraId="07239B00" w14:textId="6EE5CE59" w:rsidR="00ED1927" w:rsidRPr="00ED1038" w:rsidRDefault="00E32C16" w:rsidP="00D61FAE">
      <w:pPr>
        <w:pStyle w:val="ListParagraph"/>
        <w:numPr>
          <w:ilvl w:val="1"/>
          <w:numId w:val="15"/>
        </w:numPr>
        <w:tabs>
          <w:tab w:val="left" w:pos="1134"/>
          <w:tab w:val="left" w:pos="2304"/>
          <w:tab w:val="left" w:pos="2880"/>
          <w:tab w:val="left" w:pos="8647"/>
        </w:tabs>
        <w:spacing w:after="0" w:line="240" w:lineRule="auto"/>
        <w:ind w:left="720" w:hanging="720"/>
        <w:jc w:val="both"/>
        <w:rPr>
          <w:rFonts w:ascii="Arial" w:eastAsia="Times New Roman" w:hAnsi="Arial" w:cs="Arial"/>
          <w:sz w:val="20"/>
          <w:szCs w:val="20"/>
        </w:rPr>
      </w:pPr>
      <w:r w:rsidRPr="00ED1038">
        <w:rPr>
          <w:rFonts w:ascii="Arial" w:eastAsia="Times New Roman" w:hAnsi="Arial" w:cs="Arial"/>
          <w:color w:val="000000" w:themeColor="text1"/>
          <w:sz w:val="20"/>
          <w:szCs w:val="20"/>
        </w:rPr>
        <w:t xml:space="preserve">Provision is included for the continued funding to meet the additional fire safety improvements that are required to the overall housing stock as a result of changes to legislative requirements.  These improvements will include the replacement of existing communal doors and doors to individual flats in all </w:t>
      </w:r>
      <w:r w:rsidR="00992680" w:rsidRPr="00ED1038">
        <w:rPr>
          <w:rFonts w:ascii="Arial" w:eastAsia="Times New Roman" w:hAnsi="Arial" w:cs="Arial"/>
          <w:color w:val="000000" w:themeColor="text1"/>
          <w:sz w:val="20"/>
          <w:szCs w:val="20"/>
        </w:rPr>
        <w:t>m</w:t>
      </w:r>
      <w:r w:rsidRPr="00ED1038">
        <w:rPr>
          <w:rFonts w:ascii="Arial" w:eastAsia="Times New Roman" w:hAnsi="Arial" w:cs="Arial"/>
          <w:color w:val="000000" w:themeColor="text1"/>
          <w:sz w:val="20"/>
          <w:szCs w:val="20"/>
        </w:rPr>
        <w:t xml:space="preserve">ulti storey developments </w:t>
      </w:r>
      <w:r w:rsidR="00992680" w:rsidRPr="00ED1038">
        <w:rPr>
          <w:rFonts w:ascii="Arial" w:eastAsia="Times New Roman" w:hAnsi="Arial" w:cs="Arial"/>
          <w:color w:val="000000" w:themeColor="text1"/>
          <w:sz w:val="20"/>
          <w:szCs w:val="20"/>
        </w:rPr>
        <w:t>(MSD)</w:t>
      </w:r>
      <w:r w:rsidR="00641850" w:rsidRPr="00ED1038">
        <w:rPr>
          <w:rFonts w:ascii="Arial" w:eastAsia="Times New Roman" w:hAnsi="Arial" w:cs="Arial"/>
          <w:color w:val="000000" w:themeColor="text1"/>
          <w:sz w:val="20"/>
          <w:szCs w:val="20"/>
        </w:rPr>
        <w:t>.</w:t>
      </w:r>
      <w:bookmarkEnd w:id="0"/>
    </w:p>
    <w:p w14:paraId="57C2A7A6" w14:textId="3887E0D9" w:rsidR="00630FDE" w:rsidRPr="00ED1038" w:rsidRDefault="00630FDE" w:rsidP="00CE41E7">
      <w:pPr>
        <w:pStyle w:val="ListParagraph"/>
        <w:numPr>
          <w:ilvl w:val="1"/>
          <w:numId w:val="15"/>
        </w:numPr>
        <w:tabs>
          <w:tab w:val="left" w:pos="1134"/>
          <w:tab w:val="left" w:pos="2304"/>
          <w:tab w:val="left" w:pos="2880"/>
          <w:tab w:val="left" w:pos="8647"/>
        </w:tabs>
        <w:spacing w:after="0" w:line="240" w:lineRule="auto"/>
        <w:ind w:left="720" w:hanging="720"/>
        <w:jc w:val="both"/>
        <w:rPr>
          <w:rFonts w:ascii="Arial" w:eastAsia="Times New Roman" w:hAnsi="Arial" w:cs="Arial"/>
          <w:color w:val="000000" w:themeColor="text1"/>
          <w:sz w:val="20"/>
          <w:szCs w:val="20"/>
        </w:rPr>
      </w:pPr>
      <w:r w:rsidRPr="00ED1038">
        <w:rPr>
          <w:rFonts w:ascii="Arial" w:eastAsia="Times New Roman" w:hAnsi="Arial" w:cs="Arial"/>
          <w:sz w:val="20"/>
          <w:szCs w:val="20"/>
        </w:rPr>
        <w:t xml:space="preserve">The projected rent increases based on these provisional budgets are </w:t>
      </w:r>
      <w:r w:rsidR="007709C4" w:rsidRPr="00ED1038">
        <w:rPr>
          <w:rFonts w:ascii="Arial" w:eastAsia="Times New Roman" w:hAnsi="Arial" w:cs="Arial"/>
          <w:sz w:val="20"/>
          <w:szCs w:val="20"/>
        </w:rPr>
        <w:t>1.5</w:t>
      </w:r>
      <w:r w:rsidR="008C1A01" w:rsidRPr="00ED1038">
        <w:rPr>
          <w:rFonts w:ascii="Arial" w:eastAsia="Times New Roman" w:hAnsi="Arial" w:cs="Arial"/>
          <w:sz w:val="20"/>
          <w:szCs w:val="20"/>
        </w:rPr>
        <w:t>0</w:t>
      </w:r>
      <w:r w:rsidRPr="00ED1038">
        <w:rPr>
          <w:rFonts w:ascii="Arial" w:eastAsia="Times New Roman" w:hAnsi="Arial" w:cs="Arial"/>
          <w:sz w:val="20"/>
          <w:szCs w:val="20"/>
        </w:rPr>
        <w:t xml:space="preserve">% for each of these financial years.  It should be emphasised that the attached budgets and rent levels above are only indicative and final decisions relating </w:t>
      </w:r>
      <w:r w:rsidR="00800B6E" w:rsidRPr="00ED1038">
        <w:rPr>
          <w:rFonts w:ascii="Arial" w:eastAsia="Times New Roman" w:hAnsi="Arial" w:cs="Arial"/>
          <w:sz w:val="20"/>
          <w:szCs w:val="20"/>
        </w:rPr>
        <w:t>to</w:t>
      </w:r>
      <w:r w:rsidRPr="00ED1038">
        <w:rPr>
          <w:rFonts w:ascii="Arial" w:eastAsia="Times New Roman" w:hAnsi="Arial" w:cs="Arial"/>
          <w:sz w:val="20"/>
          <w:szCs w:val="20"/>
        </w:rPr>
        <w:t xml:space="preserve"> these budgets and future rent levels will be taken in due course.</w:t>
      </w:r>
    </w:p>
    <w:p w14:paraId="4A828B95" w14:textId="29F893DE" w:rsidR="00A51DB1" w:rsidRPr="00ED1038" w:rsidRDefault="00A51DB1" w:rsidP="00CE41E7">
      <w:pPr>
        <w:spacing w:after="0" w:line="240" w:lineRule="auto"/>
        <w:ind w:left="720" w:hanging="720"/>
        <w:jc w:val="both"/>
        <w:rPr>
          <w:rFonts w:ascii="Arial" w:eastAsia="Times New Roman" w:hAnsi="Arial" w:cs="Arial"/>
          <w:sz w:val="20"/>
          <w:szCs w:val="20"/>
        </w:rPr>
      </w:pPr>
    </w:p>
    <w:p w14:paraId="4018707C" w14:textId="77777777" w:rsidR="008B18F4" w:rsidRPr="00ED1038" w:rsidRDefault="008B18F4" w:rsidP="00CE41E7">
      <w:pPr>
        <w:tabs>
          <w:tab w:val="left" w:pos="1134"/>
          <w:tab w:val="left" w:pos="2304"/>
          <w:tab w:val="left" w:pos="2880"/>
          <w:tab w:val="left" w:pos="8647"/>
        </w:tabs>
        <w:spacing w:after="0" w:line="240" w:lineRule="auto"/>
        <w:ind w:left="720" w:hanging="720"/>
        <w:jc w:val="both"/>
        <w:rPr>
          <w:rFonts w:ascii="Arial" w:eastAsia="Times New Roman" w:hAnsi="Arial" w:cs="Arial"/>
          <w:sz w:val="20"/>
          <w:szCs w:val="20"/>
        </w:rPr>
      </w:pPr>
    </w:p>
    <w:p w14:paraId="0D31B8BC" w14:textId="77777777" w:rsidR="00630FDE" w:rsidRPr="00ED1038" w:rsidRDefault="00E448E5" w:rsidP="00CE41E7">
      <w:pPr>
        <w:tabs>
          <w:tab w:val="left" w:pos="1134"/>
          <w:tab w:val="left" w:pos="2304"/>
          <w:tab w:val="left" w:pos="2880"/>
          <w:tab w:val="left" w:pos="8647"/>
        </w:tabs>
        <w:spacing w:after="0" w:line="240" w:lineRule="auto"/>
        <w:ind w:left="720" w:hanging="720"/>
        <w:jc w:val="both"/>
        <w:rPr>
          <w:rFonts w:ascii="Arial" w:eastAsia="Times New Roman" w:hAnsi="Arial" w:cs="Arial"/>
          <w:b/>
          <w:sz w:val="20"/>
          <w:szCs w:val="20"/>
        </w:rPr>
      </w:pPr>
      <w:r w:rsidRPr="00ED1038">
        <w:rPr>
          <w:rFonts w:ascii="Arial" w:eastAsia="Times New Roman" w:hAnsi="Arial" w:cs="Arial"/>
          <w:sz w:val="20"/>
          <w:szCs w:val="20"/>
        </w:rPr>
        <w:t>10</w:t>
      </w:r>
      <w:r w:rsidR="00630FDE" w:rsidRPr="00ED1038">
        <w:rPr>
          <w:rFonts w:ascii="Arial" w:eastAsia="Times New Roman" w:hAnsi="Arial" w:cs="Arial"/>
          <w:sz w:val="20"/>
          <w:szCs w:val="20"/>
        </w:rPr>
        <w:tab/>
      </w:r>
      <w:r w:rsidR="00630FDE" w:rsidRPr="00ED1038">
        <w:rPr>
          <w:rFonts w:ascii="Arial" w:eastAsia="Times New Roman" w:hAnsi="Arial" w:cs="Arial"/>
          <w:b/>
          <w:sz w:val="20"/>
          <w:szCs w:val="20"/>
        </w:rPr>
        <w:t>RENT CONSULTATION</w:t>
      </w:r>
    </w:p>
    <w:p w14:paraId="4788C376" w14:textId="77777777" w:rsidR="00EC7815" w:rsidRPr="00ED1038" w:rsidRDefault="00EC7815" w:rsidP="00CE41E7">
      <w:pPr>
        <w:tabs>
          <w:tab w:val="left" w:pos="1134"/>
          <w:tab w:val="left" w:pos="2304"/>
          <w:tab w:val="left" w:pos="2880"/>
          <w:tab w:val="left" w:pos="8647"/>
        </w:tabs>
        <w:spacing w:after="0" w:line="240" w:lineRule="auto"/>
        <w:ind w:left="720" w:hanging="720"/>
        <w:jc w:val="both"/>
        <w:rPr>
          <w:rFonts w:ascii="Arial" w:eastAsia="Times New Roman" w:hAnsi="Arial" w:cs="Arial"/>
          <w:sz w:val="20"/>
          <w:szCs w:val="20"/>
        </w:rPr>
      </w:pPr>
    </w:p>
    <w:p w14:paraId="64BF646D" w14:textId="4F1B05BC" w:rsidR="009679A5" w:rsidRPr="00ED1038" w:rsidRDefault="00E448E5" w:rsidP="00CE41E7">
      <w:pPr>
        <w:tabs>
          <w:tab w:val="left" w:pos="1134"/>
          <w:tab w:val="left" w:pos="2304"/>
          <w:tab w:val="left" w:pos="2880"/>
          <w:tab w:val="left" w:pos="8647"/>
        </w:tabs>
        <w:spacing w:after="0" w:line="240" w:lineRule="auto"/>
        <w:ind w:left="720" w:hanging="720"/>
        <w:jc w:val="both"/>
        <w:rPr>
          <w:rFonts w:ascii="Arial" w:eastAsia="Times New Roman" w:hAnsi="Arial" w:cs="Arial"/>
          <w:sz w:val="20"/>
          <w:szCs w:val="20"/>
        </w:rPr>
      </w:pPr>
      <w:r w:rsidRPr="00ED1038">
        <w:rPr>
          <w:rFonts w:ascii="Arial" w:eastAsia="Times New Roman" w:hAnsi="Arial" w:cs="Arial"/>
          <w:sz w:val="20"/>
          <w:szCs w:val="20"/>
        </w:rPr>
        <w:t>10</w:t>
      </w:r>
      <w:r w:rsidR="009679A5" w:rsidRPr="00ED1038">
        <w:rPr>
          <w:rFonts w:ascii="Arial" w:eastAsia="Times New Roman" w:hAnsi="Arial" w:cs="Arial"/>
          <w:sz w:val="20"/>
          <w:szCs w:val="20"/>
        </w:rPr>
        <w:t>.1</w:t>
      </w:r>
      <w:r w:rsidR="009679A5" w:rsidRPr="00ED1038">
        <w:rPr>
          <w:rFonts w:ascii="Arial" w:eastAsia="Times New Roman" w:hAnsi="Arial" w:cs="Arial"/>
          <w:sz w:val="20"/>
          <w:szCs w:val="20"/>
        </w:rPr>
        <w:tab/>
        <w:t xml:space="preserve">Last year’s consultation was widely recognised as a great success and comprised of numerous events and other awareness raising activities across the </w:t>
      </w:r>
      <w:r w:rsidR="00997FBD" w:rsidRPr="00ED1038">
        <w:rPr>
          <w:rFonts w:ascii="Arial" w:eastAsia="Times New Roman" w:hAnsi="Arial" w:cs="Arial"/>
          <w:sz w:val="20"/>
          <w:szCs w:val="20"/>
        </w:rPr>
        <w:t>c</w:t>
      </w:r>
      <w:r w:rsidR="009679A5" w:rsidRPr="00ED1038">
        <w:rPr>
          <w:rFonts w:ascii="Arial" w:eastAsia="Times New Roman" w:hAnsi="Arial" w:cs="Arial"/>
          <w:sz w:val="20"/>
          <w:szCs w:val="20"/>
        </w:rPr>
        <w:t>ity.  The total number of tenants that participated was 2,</w:t>
      </w:r>
      <w:r w:rsidR="00E36418" w:rsidRPr="00ED1038">
        <w:rPr>
          <w:rFonts w:ascii="Arial" w:eastAsia="Times New Roman" w:hAnsi="Arial" w:cs="Arial"/>
          <w:sz w:val="20"/>
          <w:szCs w:val="20"/>
        </w:rPr>
        <w:t>162</w:t>
      </w:r>
      <w:r w:rsidR="009679A5" w:rsidRPr="00ED1038">
        <w:rPr>
          <w:rFonts w:ascii="Arial" w:eastAsia="Times New Roman" w:hAnsi="Arial" w:cs="Arial"/>
          <w:sz w:val="20"/>
          <w:szCs w:val="20"/>
        </w:rPr>
        <w:t xml:space="preserve"> that represents</w:t>
      </w:r>
      <w:r w:rsidR="00E36418" w:rsidRPr="00ED1038">
        <w:rPr>
          <w:rFonts w:ascii="Arial" w:eastAsia="Times New Roman" w:hAnsi="Arial" w:cs="Arial"/>
          <w:sz w:val="20"/>
          <w:szCs w:val="20"/>
        </w:rPr>
        <w:t xml:space="preserve"> almost</w:t>
      </w:r>
      <w:r w:rsidR="009679A5" w:rsidRPr="00ED1038">
        <w:rPr>
          <w:rFonts w:ascii="Arial" w:eastAsia="Times New Roman" w:hAnsi="Arial" w:cs="Arial"/>
          <w:sz w:val="20"/>
          <w:szCs w:val="20"/>
        </w:rPr>
        <w:t xml:space="preserve"> </w:t>
      </w:r>
      <w:r w:rsidR="00B107AB" w:rsidRPr="00ED1038">
        <w:rPr>
          <w:rFonts w:ascii="Arial" w:eastAsia="Times New Roman" w:hAnsi="Arial" w:cs="Arial"/>
          <w:sz w:val="20"/>
          <w:szCs w:val="20"/>
        </w:rPr>
        <w:t>20</w:t>
      </w:r>
      <w:r w:rsidR="009679A5" w:rsidRPr="00ED1038">
        <w:rPr>
          <w:rFonts w:ascii="Arial" w:eastAsia="Times New Roman" w:hAnsi="Arial" w:cs="Arial"/>
          <w:sz w:val="20"/>
          <w:szCs w:val="20"/>
        </w:rPr>
        <w:t>% of the current housing stock.</w:t>
      </w:r>
    </w:p>
    <w:p w14:paraId="1D7C8C48" w14:textId="77777777" w:rsidR="009679A5" w:rsidRPr="00ED1038" w:rsidRDefault="009679A5" w:rsidP="00CE41E7">
      <w:pPr>
        <w:tabs>
          <w:tab w:val="left" w:pos="1134"/>
          <w:tab w:val="left" w:pos="2304"/>
          <w:tab w:val="left" w:pos="2880"/>
          <w:tab w:val="left" w:pos="8647"/>
        </w:tabs>
        <w:spacing w:after="0" w:line="240" w:lineRule="auto"/>
        <w:ind w:left="720" w:hanging="720"/>
        <w:jc w:val="both"/>
        <w:rPr>
          <w:rFonts w:ascii="Arial" w:eastAsia="Times New Roman" w:hAnsi="Arial" w:cs="Arial"/>
          <w:sz w:val="20"/>
          <w:szCs w:val="20"/>
        </w:rPr>
      </w:pPr>
    </w:p>
    <w:p w14:paraId="4E1E6219" w14:textId="77777777" w:rsidR="00394402" w:rsidRPr="00ED1038" w:rsidRDefault="00E448E5" w:rsidP="00CE41E7">
      <w:pPr>
        <w:tabs>
          <w:tab w:val="left" w:pos="1134"/>
          <w:tab w:val="left" w:pos="2304"/>
          <w:tab w:val="left" w:pos="2880"/>
          <w:tab w:val="left" w:pos="8647"/>
        </w:tabs>
        <w:spacing w:after="0" w:line="240" w:lineRule="auto"/>
        <w:ind w:left="720" w:hanging="720"/>
        <w:jc w:val="both"/>
        <w:rPr>
          <w:rFonts w:ascii="Arial" w:eastAsia="Times New Roman" w:hAnsi="Arial" w:cs="Arial"/>
          <w:sz w:val="20"/>
          <w:szCs w:val="20"/>
        </w:rPr>
      </w:pPr>
      <w:r w:rsidRPr="00ED1038">
        <w:rPr>
          <w:rFonts w:ascii="Arial" w:eastAsia="Times New Roman" w:hAnsi="Arial" w:cs="Arial"/>
          <w:sz w:val="20"/>
          <w:szCs w:val="20"/>
        </w:rPr>
        <w:t>10</w:t>
      </w:r>
      <w:r w:rsidR="00630FDE" w:rsidRPr="00ED1038">
        <w:rPr>
          <w:rFonts w:ascii="Arial" w:eastAsia="Times New Roman" w:hAnsi="Arial" w:cs="Arial"/>
          <w:sz w:val="20"/>
          <w:szCs w:val="20"/>
        </w:rPr>
        <w:t>.</w:t>
      </w:r>
      <w:r w:rsidR="009679A5" w:rsidRPr="00ED1038">
        <w:rPr>
          <w:rFonts w:ascii="Arial" w:eastAsia="Times New Roman" w:hAnsi="Arial" w:cs="Arial"/>
          <w:sz w:val="20"/>
          <w:szCs w:val="20"/>
        </w:rPr>
        <w:t>2</w:t>
      </w:r>
      <w:r w:rsidR="00630FDE" w:rsidRPr="00ED1038">
        <w:rPr>
          <w:rFonts w:ascii="Arial" w:eastAsia="Times New Roman" w:hAnsi="Arial" w:cs="Arial"/>
          <w:sz w:val="20"/>
          <w:szCs w:val="20"/>
        </w:rPr>
        <w:tab/>
      </w:r>
      <w:r w:rsidR="00B107AB" w:rsidRPr="00ED1038">
        <w:rPr>
          <w:rFonts w:ascii="Arial" w:eastAsia="Times New Roman" w:hAnsi="Arial" w:cs="Arial"/>
          <w:sz w:val="20"/>
          <w:szCs w:val="20"/>
        </w:rPr>
        <w:t xml:space="preserve">Officers normally hold a seminar during the summer to provide </w:t>
      </w:r>
      <w:r w:rsidR="00394402" w:rsidRPr="00ED1038">
        <w:rPr>
          <w:rFonts w:ascii="Arial" w:eastAsia="Times New Roman" w:hAnsi="Arial" w:cs="Arial"/>
          <w:sz w:val="20"/>
          <w:szCs w:val="20"/>
        </w:rPr>
        <w:t xml:space="preserve">tenants information about what their rent pays for and raise awareness of how rent levels are set.  </w:t>
      </w:r>
      <w:r w:rsidR="00B107AB" w:rsidRPr="00ED1038">
        <w:rPr>
          <w:rFonts w:ascii="Arial" w:eastAsia="Times New Roman" w:hAnsi="Arial" w:cs="Arial"/>
          <w:sz w:val="20"/>
          <w:szCs w:val="20"/>
        </w:rPr>
        <w:t xml:space="preserve">The event also </w:t>
      </w:r>
      <w:r w:rsidR="00394402" w:rsidRPr="00ED1038">
        <w:rPr>
          <w:rFonts w:ascii="Arial" w:eastAsia="Times New Roman" w:hAnsi="Arial" w:cs="Arial"/>
          <w:sz w:val="20"/>
          <w:szCs w:val="20"/>
        </w:rPr>
        <w:t>provide</w:t>
      </w:r>
      <w:r w:rsidR="00B107AB" w:rsidRPr="00ED1038">
        <w:rPr>
          <w:rFonts w:ascii="Arial" w:eastAsia="Times New Roman" w:hAnsi="Arial" w:cs="Arial"/>
          <w:sz w:val="20"/>
          <w:szCs w:val="20"/>
        </w:rPr>
        <w:t>s</w:t>
      </w:r>
      <w:r w:rsidR="00394402" w:rsidRPr="00ED1038">
        <w:rPr>
          <w:rFonts w:ascii="Arial" w:eastAsia="Times New Roman" w:hAnsi="Arial" w:cs="Arial"/>
          <w:sz w:val="20"/>
          <w:szCs w:val="20"/>
        </w:rPr>
        <w:t xml:space="preserve"> an opportunity for tenants to learn what the Council’s </w:t>
      </w:r>
      <w:r w:rsidR="00B107AB" w:rsidRPr="00ED1038">
        <w:rPr>
          <w:rFonts w:ascii="Arial" w:eastAsia="Times New Roman" w:hAnsi="Arial" w:cs="Arial"/>
          <w:sz w:val="20"/>
          <w:szCs w:val="20"/>
        </w:rPr>
        <w:t xml:space="preserve">housing </w:t>
      </w:r>
      <w:r w:rsidR="00394402" w:rsidRPr="00ED1038">
        <w:rPr>
          <w:rFonts w:ascii="Arial" w:eastAsia="Times New Roman" w:hAnsi="Arial" w:cs="Arial"/>
          <w:sz w:val="20"/>
          <w:szCs w:val="20"/>
        </w:rPr>
        <w:t xml:space="preserve">priorities </w:t>
      </w:r>
      <w:r w:rsidR="00B107AB" w:rsidRPr="00ED1038">
        <w:rPr>
          <w:rFonts w:ascii="Arial" w:eastAsia="Times New Roman" w:hAnsi="Arial" w:cs="Arial"/>
          <w:sz w:val="20"/>
          <w:szCs w:val="20"/>
        </w:rPr>
        <w:t>are</w:t>
      </w:r>
      <w:r w:rsidR="00394402" w:rsidRPr="00ED1038">
        <w:rPr>
          <w:rFonts w:ascii="Arial" w:eastAsia="Times New Roman" w:hAnsi="Arial" w:cs="Arial"/>
          <w:sz w:val="20"/>
          <w:szCs w:val="20"/>
        </w:rPr>
        <w:t xml:space="preserve"> but importantly also gave tenants the opportunity to let the Council know what </w:t>
      </w:r>
      <w:r w:rsidR="00B107AB" w:rsidRPr="00ED1038">
        <w:rPr>
          <w:rFonts w:ascii="Arial" w:eastAsia="Times New Roman" w:hAnsi="Arial" w:cs="Arial"/>
          <w:sz w:val="20"/>
          <w:szCs w:val="20"/>
        </w:rPr>
        <w:t>is important to them</w:t>
      </w:r>
      <w:r w:rsidR="00394402" w:rsidRPr="00ED1038">
        <w:rPr>
          <w:rFonts w:ascii="Arial" w:eastAsia="Times New Roman" w:hAnsi="Arial" w:cs="Arial"/>
          <w:sz w:val="20"/>
          <w:szCs w:val="20"/>
        </w:rPr>
        <w:t>.</w:t>
      </w:r>
      <w:r w:rsidR="00F1729F" w:rsidRPr="00ED1038">
        <w:rPr>
          <w:rFonts w:ascii="Arial" w:eastAsia="Times New Roman" w:hAnsi="Arial" w:cs="Arial"/>
          <w:sz w:val="20"/>
          <w:szCs w:val="20"/>
        </w:rPr>
        <w:t xml:space="preserve">  </w:t>
      </w:r>
      <w:r w:rsidR="00B107AB" w:rsidRPr="00ED1038">
        <w:rPr>
          <w:rFonts w:ascii="Arial" w:eastAsia="Times New Roman" w:hAnsi="Arial" w:cs="Arial"/>
          <w:sz w:val="20"/>
          <w:szCs w:val="20"/>
        </w:rPr>
        <w:t xml:space="preserve">As a result of the restrictions imposed following the Covid-19 outbreak </w:t>
      </w:r>
      <w:r w:rsidR="0051027C" w:rsidRPr="00ED1038">
        <w:rPr>
          <w:rFonts w:ascii="Arial" w:eastAsia="Times New Roman" w:hAnsi="Arial" w:cs="Arial"/>
          <w:sz w:val="20"/>
          <w:szCs w:val="20"/>
        </w:rPr>
        <w:t xml:space="preserve">and the impact on the delivery of programmes over the last year, </w:t>
      </w:r>
      <w:r w:rsidR="00B107AB" w:rsidRPr="00ED1038">
        <w:rPr>
          <w:rFonts w:ascii="Arial" w:eastAsia="Times New Roman" w:hAnsi="Arial" w:cs="Arial"/>
          <w:sz w:val="20"/>
          <w:szCs w:val="20"/>
        </w:rPr>
        <w:t>this event did not take place</w:t>
      </w:r>
      <w:r w:rsidR="0051027C" w:rsidRPr="00ED1038">
        <w:rPr>
          <w:rFonts w:ascii="Arial" w:eastAsia="Times New Roman" w:hAnsi="Arial" w:cs="Arial"/>
          <w:sz w:val="20"/>
          <w:szCs w:val="20"/>
        </w:rPr>
        <w:t>.  I</w:t>
      </w:r>
      <w:r w:rsidR="00B107AB" w:rsidRPr="00ED1038">
        <w:rPr>
          <w:rFonts w:ascii="Arial" w:eastAsia="Times New Roman" w:hAnsi="Arial" w:cs="Arial"/>
          <w:sz w:val="20"/>
          <w:szCs w:val="20"/>
        </w:rPr>
        <w:t xml:space="preserve">nstead </w:t>
      </w:r>
      <w:r w:rsidR="0051027C" w:rsidRPr="00ED1038">
        <w:rPr>
          <w:rFonts w:ascii="Arial" w:eastAsia="Times New Roman" w:hAnsi="Arial" w:cs="Arial"/>
          <w:sz w:val="20"/>
          <w:szCs w:val="20"/>
        </w:rPr>
        <w:t xml:space="preserve">the service has retained the priorities outlined by tenants last year which was captured via </w:t>
      </w:r>
      <w:r w:rsidR="00B107AB" w:rsidRPr="00ED1038">
        <w:rPr>
          <w:rFonts w:ascii="Arial" w:eastAsia="Times New Roman" w:hAnsi="Arial" w:cs="Arial"/>
          <w:sz w:val="20"/>
          <w:szCs w:val="20"/>
        </w:rPr>
        <w:t xml:space="preserve">a short survey which </w:t>
      </w:r>
      <w:r w:rsidR="0051027C" w:rsidRPr="00ED1038">
        <w:rPr>
          <w:rFonts w:ascii="Arial" w:eastAsia="Times New Roman" w:hAnsi="Arial" w:cs="Arial"/>
          <w:sz w:val="20"/>
          <w:szCs w:val="20"/>
        </w:rPr>
        <w:t xml:space="preserve">outlined </w:t>
      </w:r>
      <w:r w:rsidR="0051027C" w:rsidRPr="00ED1038">
        <w:rPr>
          <w:rFonts w:ascii="Arial" w:eastAsia="Times New Roman" w:hAnsi="Arial" w:cs="Arial"/>
          <w:sz w:val="20"/>
          <w:szCs w:val="20"/>
        </w:rPr>
        <w:lastRenderedPageBreak/>
        <w:t xml:space="preserve">the </w:t>
      </w:r>
      <w:r w:rsidR="00B107AB" w:rsidRPr="00ED1038">
        <w:rPr>
          <w:rFonts w:ascii="Arial" w:eastAsia="Times New Roman" w:hAnsi="Arial" w:cs="Arial"/>
          <w:sz w:val="20"/>
          <w:szCs w:val="20"/>
        </w:rPr>
        <w:t xml:space="preserve">priorities </w:t>
      </w:r>
      <w:r w:rsidR="0051027C" w:rsidRPr="00ED1038">
        <w:rPr>
          <w:rFonts w:ascii="Arial" w:eastAsia="Times New Roman" w:hAnsi="Arial" w:cs="Arial"/>
          <w:sz w:val="20"/>
          <w:szCs w:val="20"/>
        </w:rPr>
        <w:t xml:space="preserve">that </w:t>
      </w:r>
      <w:r w:rsidR="00B107AB" w:rsidRPr="00ED1038">
        <w:rPr>
          <w:rFonts w:ascii="Arial" w:eastAsia="Times New Roman" w:hAnsi="Arial" w:cs="Arial"/>
          <w:sz w:val="20"/>
          <w:szCs w:val="20"/>
        </w:rPr>
        <w:t>should be considered</w:t>
      </w:r>
      <w:r w:rsidR="0051027C" w:rsidRPr="00ED1038">
        <w:rPr>
          <w:rFonts w:ascii="Arial" w:eastAsia="Times New Roman" w:hAnsi="Arial" w:cs="Arial"/>
          <w:sz w:val="20"/>
          <w:szCs w:val="20"/>
        </w:rPr>
        <w:t>.  Given the impact on the o</w:t>
      </w:r>
      <w:r w:rsidR="00EA0B6C" w:rsidRPr="00ED1038">
        <w:rPr>
          <w:rFonts w:ascii="Arial" w:eastAsia="Times New Roman" w:hAnsi="Arial" w:cs="Arial"/>
          <w:sz w:val="20"/>
          <w:szCs w:val="20"/>
        </w:rPr>
        <w:t>v</w:t>
      </w:r>
      <w:r w:rsidR="0051027C" w:rsidRPr="00ED1038">
        <w:rPr>
          <w:rFonts w:ascii="Arial" w:eastAsia="Times New Roman" w:hAnsi="Arial" w:cs="Arial"/>
          <w:sz w:val="20"/>
          <w:szCs w:val="20"/>
        </w:rPr>
        <w:t xml:space="preserve">erall delivery of these programmes over the last year, the service </w:t>
      </w:r>
      <w:r w:rsidR="00EA0B6C" w:rsidRPr="00ED1038">
        <w:rPr>
          <w:rFonts w:ascii="Arial" w:eastAsia="Times New Roman" w:hAnsi="Arial" w:cs="Arial"/>
          <w:sz w:val="20"/>
          <w:szCs w:val="20"/>
        </w:rPr>
        <w:t>will keep these priorities for consultation</w:t>
      </w:r>
      <w:r w:rsidR="00B107AB" w:rsidRPr="00ED1038">
        <w:rPr>
          <w:rFonts w:ascii="Arial" w:eastAsia="Times New Roman" w:hAnsi="Arial" w:cs="Arial"/>
          <w:sz w:val="20"/>
          <w:szCs w:val="20"/>
        </w:rPr>
        <w:t xml:space="preserve"> in this year’s rent consultation exercise.  </w:t>
      </w:r>
      <w:r w:rsidR="00F1729F" w:rsidRPr="00ED1038">
        <w:rPr>
          <w:rFonts w:ascii="Arial" w:eastAsia="Times New Roman" w:hAnsi="Arial" w:cs="Arial"/>
          <w:sz w:val="20"/>
          <w:szCs w:val="20"/>
        </w:rPr>
        <w:t xml:space="preserve">These priorities </w:t>
      </w:r>
      <w:r w:rsidR="00125FE3" w:rsidRPr="00ED1038">
        <w:rPr>
          <w:rFonts w:ascii="Arial" w:eastAsia="Times New Roman" w:hAnsi="Arial" w:cs="Arial"/>
          <w:sz w:val="20"/>
          <w:szCs w:val="20"/>
        </w:rPr>
        <w:t xml:space="preserve">together with those we are aware of from other feedback </w:t>
      </w:r>
      <w:r w:rsidR="00F1729F" w:rsidRPr="00ED1038">
        <w:rPr>
          <w:rFonts w:ascii="Arial" w:eastAsia="Times New Roman" w:hAnsi="Arial" w:cs="Arial"/>
          <w:sz w:val="20"/>
          <w:szCs w:val="20"/>
        </w:rPr>
        <w:t xml:space="preserve">are reflected in the rent consultation options outlined in </w:t>
      </w:r>
      <w:r w:rsidR="007663D0" w:rsidRPr="00ED1038">
        <w:rPr>
          <w:rFonts w:ascii="Arial" w:eastAsia="Times New Roman" w:hAnsi="Arial" w:cs="Arial"/>
          <w:sz w:val="20"/>
          <w:szCs w:val="20"/>
        </w:rPr>
        <w:t>Appendix 3</w:t>
      </w:r>
      <w:r w:rsidR="00F1729F" w:rsidRPr="00ED1038">
        <w:rPr>
          <w:rFonts w:ascii="Arial" w:eastAsia="Times New Roman" w:hAnsi="Arial" w:cs="Arial"/>
          <w:sz w:val="20"/>
          <w:szCs w:val="20"/>
        </w:rPr>
        <w:t>.</w:t>
      </w:r>
    </w:p>
    <w:p w14:paraId="7EA63EE8" w14:textId="77777777" w:rsidR="00394402" w:rsidRPr="00ED1038" w:rsidRDefault="00394402" w:rsidP="00C27DC7">
      <w:pPr>
        <w:tabs>
          <w:tab w:val="left" w:pos="1134"/>
          <w:tab w:val="left" w:pos="2304"/>
          <w:tab w:val="left" w:pos="2880"/>
          <w:tab w:val="left" w:pos="8647"/>
        </w:tabs>
        <w:spacing w:after="0" w:line="240" w:lineRule="auto"/>
        <w:ind w:left="567" w:hanging="567"/>
        <w:jc w:val="both"/>
        <w:rPr>
          <w:rFonts w:ascii="Arial" w:eastAsia="Times New Roman" w:hAnsi="Arial" w:cs="Arial"/>
          <w:sz w:val="20"/>
          <w:szCs w:val="20"/>
        </w:rPr>
      </w:pPr>
      <w:r w:rsidRPr="00ED1038">
        <w:rPr>
          <w:rFonts w:ascii="Arial" w:eastAsia="Times New Roman" w:hAnsi="Arial" w:cs="Arial"/>
          <w:sz w:val="20"/>
          <w:szCs w:val="20"/>
        </w:rPr>
        <w:t xml:space="preserve"> </w:t>
      </w:r>
    </w:p>
    <w:p w14:paraId="4AC844B7" w14:textId="77777777" w:rsidR="00630FDE" w:rsidRPr="00ED1038" w:rsidRDefault="00E448E5" w:rsidP="00CE41E7">
      <w:pPr>
        <w:tabs>
          <w:tab w:val="left" w:pos="1134"/>
          <w:tab w:val="left" w:pos="2304"/>
          <w:tab w:val="left" w:pos="2880"/>
          <w:tab w:val="left" w:pos="8647"/>
        </w:tabs>
        <w:spacing w:after="0" w:line="240" w:lineRule="auto"/>
        <w:ind w:left="720" w:hanging="720"/>
        <w:jc w:val="both"/>
        <w:rPr>
          <w:rFonts w:ascii="Arial" w:eastAsia="Times New Roman" w:hAnsi="Arial" w:cs="Arial"/>
          <w:sz w:val="20"/>
          <w:szCs w:val="20"/>
        </w:rPr>
      </w:pPr>
      <w:r w:rsidRPr="00ED1038">
        <w:rPr>
          <w:rFonts w:ascii="Arial" w:eastAsia="Times New Roman" w:hAnsi="Arial" w:cs="Arial"/>
          <w:sz w:val="20"/>
          <w:szCs w:val="20"/>
        </w:rPr>
        <w:t>10</w:t>
      </w:r>
      <w:r w:rsidR="00394402" w:rsidRPr="00ED1038">
        <w:rPr>
          <w:rFonts w:ascii="Arial" w:eastAsia="Times New Roman" w:hAnsi="Arial" w:cs="Arial"/>
          <w:sz w:val="20"/>
          <w:szCs w:val="20"/>
        </w:rPr>
        <w:t>.</w:t>
      </w:r>
      <w:r w:rsidR="009679A5" w:rsidRPr="00ED1038">
        <w:rPr>
          <w:rFonts w:ascii="Arial" w:eastAsia="Times New Roman" w:hAnsi="Arial" w:cs="Arial"/>
          <w:sz w:val="20"/>
          <w:szCs w:val="20"/>
        </w:rPr>
        <w:t>3</w:t>
      </w:r>
      <w:r w:rsidR="00394402" w:rsidRPr="00ED1038">
        <w:rPr>
          <w:rFonts w:ascii="Arial" w:eastAsia="Times New Roman" w:hAnsi="Arial" w:cs="Arial"/>
          <w:sz w:val="20"/>
          <w:szCs w:val="20"/>
        </w:rPr>
        <w:tab/>
      </w:r>
      <w:r w:rsidR="00B107AB" w:rsidRPr="00ED1038">
        <w:rPr>
          <w:rFonts w:ascii="Arial" w:eastAsia="Times New Roman" w:hAnsi="Arial" w:cs="Arial"/>
          <w:sz w:val="20"/>
          <w:szCs w:val="20"/>
        </w:rPr>
        <w:t xml:space="preserve">As noted above, due to Covid-19 some of the traditional methods of undertaking the rent consultation shall not be available this year although </w:t>
      </w:r>
      <w:r w:rsidR="00DA4312" w:rsidRPr="00ED1038">
        <w:rPr>
          <w:rFonts w:ascii="Arial" w:eastAsia="Times New Roman" w:hAnsi="Arial" w:cs="Arial"/>
          <w:sz w:val="20"/>
          <w:szCs w:val="20"/>
        </w:rPr>
        <w:t>t</w:t>
      </w:r>
      <w:r w:rsidR="00630FDE" w:rsidRPr="00ED1038">
        <w:rPr>
          <w:rFonts w:ascii="Arial" w:eastAsia="Times New Roman" w:hAnsi="Arial" w:cs="Arial"/>
          <w:sz w:val="20"/>
          <w:szCs w:val="20"/>
        </w:rPr>
        <w:t xml:space="preserve">he Executive Director of Neighbourhood Services </w:t>
      </w:r>
      <w:r w:rsidR="00B107AB" w:rsidRPr="00ED1038">
        <w:rPr>
          <w:rFonts w:ascii="Arial" w:eastAsia="Times New Roman" w:hAnsi="Arial" w:cs="Arial"/>
          <w:sz w:val="20"/>
          <w:szCs w:val="20"/>
        </w:rPr>
        <w:t xml:space="preserve">remains committed </w:t>
      </w:r>
      <w:r w:rsidR="00630FDE" w:rsidRPr="00ED1038">
        <w:rPr>
          <w:rFonts w:ascii="Arial" w:eastAsia="Times New Roman" w:hAnsi="Arial" w:cs="Arial"/>
          <w:sz w:val="20"/>
          <w:szCs w:val="20"/>
        </w:rPr>
        <w:t>to further consult with Council tenants on the budget proposals, rent levels and other housing charges through</w:t>
      </w:r>
      <w:r w:rsidR="00B107AB" w:rsidRPr="00ED1038">
        <w:rPr>
          <w:rFonts w:ascii="Arial" w:eastAsia="Times New Roman" w:hAnsi="Arial" w:cs="Arial"/>
          <w:sz w:val="20"/>
          <w:szCs w:val="20"/>
        </w:rPr>
        <w:t xml:space="preserve"> whatever means are possible, these include</w:t>
      </w:r>
      <w:r w:rsidR="00630FDE" w:rsidRPr="00ED1038">
        <w:rPr>
          <w:rFonts w:ascii="Arial" w:eastAsia="Times New Roman" w:hAnsi="Arial" w:cs="Arial"/>
          <w:sz w:val="20"/>
          <w:szCs w:val="20"/>
        </w:rPr>
        <w:t>:</w:t>
      </w:r>
    </w:p>
    <w:p w14:paraId="0000F2D5" w14:textId="77777777" w:rsidR="00630FDE" w:rsidRPr="00ED1038" w:rsidRDefault="00630FDE" w:rsidP="00C27DC7">
      <w:pPr>
        <w:tabs>
          <w:tab w:val="left" w:pos="1134"/>
          <w:tab w:val="left" w:pos="2304"/>
          <w:tab w:val="left" w:pos="2880"/>
          <w:tab w:val="left" w:pos="8647"/>
        </w:tabs>
        <w:spacing w:after="0" w:line="240" w:lineRule="auto"/>
        <w:ind w:left="567" w:hanging="567"/>
        <w:jc w:val="both"/>
        <w:rPr>
          <w:rFonts w:ascii="Arial" w:eastAsia="Times New Roman" w:hAnsi="Arial" w:cs="Arial"/>
          <w:sz w:val="20"/>
          <w:szCs w:val="20"/>
        </w:rPr>
      </w:pPr>
    </w:p>
    <w:p w14:paraId="3F707A65" w14:textId="77777777" w:rsidR="00630FDE" w:rsidRPr="00ED1038" w:rsidRDefault="00212B81" w:rsidP="00CE41E7">
      <w:pPr>
        <w:tabs>
          <w:tab w:val="left" w:pos="1260"/>
          <w:tab w:val="left" w:pos="2304"/>
          <w:tab w:val="left" w:pos="2880"/>
          <w:tab w:val="left" w:pos="8647"/>
        </w:tabs>
        <w:spacing w:after="0" w:line="240" w:lineRule="auto"/>
        <w:ind w:left="1260" w:hanging="540"/>
        <w:jc w:val="both"/>
        <w:rPr>
          <w:rFonts w:ascii="Arial" w:eastAsia="Times New Roman" w:hAnsi="Arial" w:cs="Arial"/>
          <w:sz w:val="20"/>
          <w:szCs w:val="20"/>
        </w:rPr>
      </w:pPr>
      <w:r w:rsidRPr="00ED1038">
        <w:rPr>
          <w:rFonts w:ascii="Arial" w:eastAsia="Times New Roman" w:hAnsi="Arial" w:cs="Arial"/>
          <w:sz w:val="20"/>
          <w:szCs w:val="20"/>
        </w:rPr>
        <w:t>•</w:t>
      </w:r>
      <w:r w:rsidRPr="00ED1038">
        <w:rPr>
          <w:rFonts w:ascii="Arial" w:eastAsia="Times New Roman" w:hAnsi="Arial" w:cs="Arial"/>
          <w:sz w:val="20"/>
          <w:szCs w:val="20"/>
        </w:rPr>
        <w:tab/>
      </w:r>
      <w:r w:rsidR="00B107AB" w:rsidRPr="00ED1038">
        <w:rPr>
          <w:rFonts w:ascii="Arial" w:eastAsia="Times New Roman" w:hAnsi="Arial" w:cs="Arial"/>
          <w:sz w:val="20"/>
          <w:szCs w:val="20"/>
        </w:rPr>
        <w:t>use of telephone surveying, either directly or when tenants contact the council;</w:t>
      </w:r>
    </w:p>
    <w:p w14:paraId="59144431" w14:textId="77777777" w:rsidR="00630FDE" w:rsidRPr="00ED1038" w:rsidRDefault="00212B81" w:rsidP="00CE41E7">
      <w:pPr>
        <w:tabs>
          <w:tab w:val="left" w:pos="1260"/>
          <w:tab w:val="left" w:pos="2304"/>
          <w:tab w:val="left" w:pos="2880"/>
          <w:tab w:val="left" w:pos="8647"/>
        </w:tabs>
        <w:spacing w:after="0" w:line="240" w:lineRule="auto"/>
        <w:ind w:left="1260" w:hanging="540"/>
        <w:jc w:val="both"/>
        <w:rPr>
          <w:rFonts w:ascii="Arial" w:eastAsia="Times New Roman" w:hAnsi="Arial" w:cs="Arial"/>
          <w:sz w:val="20"/>
          <w:szCs w:val="20"/>
        </w:rPr>
      </w:pPr>
      <w:r w:rsidRPr="00ED1038">
        <w:rPr>
          <w:rFonts w:ascii="Arial" w:eastAsia="Times New Roman" w:hAnsi="Arial" w:cs="Arial"/>
          <w:sz w:val="20"/>
          <w:szCs w:val="20"/>
        </w:rPr>
        <w:t>•</w:t>
      </w:r>
      <w:r w:rsidRPr="00ED1038">
        <w:rPr>
          <w:rFonts w:ascii="Arial" w:eastAsia="Times New Roman" w:hAnsi="Arial" w:cs="Arial"/>
          <w:sz w:val="20"/>
          <w:szCs w:val="20"/>
        </w:rPr>
        <w:tab/>
        <w:t>i</w:t>
      </w:r>
      <w:r w:rsidR="00630FDE" w:rsidRPr="00ED1038">
        <w:rPr>
          <w:rFonts w:ascii="Arial" w:eastAsia="Times New Roman" w:hAnsi="Arial" w:cs="Arial"/>
          <w:sz w:val="20"/>
          <w:szCs w:val="20"/>
        </w:rPr>
        <w:t>nformation displayed on Dundee City Council website;</w:t>
      </w:r>
    </w:p>
    <w:p w14:paraId="7988E8B5" w14:textId="77777777" w:rsidR="00630FDE" w:rsidRPr="00ED1038" w:rsidRDefault="00212B81" w:rsidP="00CE41E7">
      <w:pPr>
        <w:tabs>
          <w:tab w:val="left" w:pos="1260"/>
          <w:tab w:val="left" w:pos="2304"/>
          <w:tab w:val="left" w:pos="2880"/>
          <w:tab w:val="left" w:pos="8647"/>
        </w:tabs>
        <w:spacing w:after="0" w:line="240" w:lineRule="auto"/>
        <w:ind w:left="1260" w:hanging="540"/>
        <w:jc w:val="both"/>
        <w:rPr>
          <w:rFonts w:ascii="Arial" w:eastAsia="Times New Roman" w:hAnsi="Arial" w:cs="Arial"/>
          <w:sz w:val="20"/>
          <w:szCs w:val="20"/>
        </w:rPr>
      </w:pPr>
      <w:r w:rsidRPr="00ED1038">
        <w:rPr>
          <w:rFonts w:ascii="Arial" w:eastAsia="Times New Roman" w:hAnsi="Arial" w:cs="Arial"/>
          <w:sz w:val="20"/>
          <w:szCs w:val="20"/>
        </w:rPr>
        <w:t>•</w:t>
      </w:r>
      <w:r w:rsidRPr="00ED1038">
        <w:rPr>
          <w:rFonts w:ascii="Arial" w:eastAsia="Times New Roman" w:hAnsi="Arial" w:cs="Arial"/>
          <w:sz w:val="20"/>
          <w:szCs w:val="20"/>
        </w:rPr>
        <w:tab/>
        <w:t>t</w:t>
      </w:r>
      <w:r w:rsidR="00630FDE" w:rsidRPr="00ED1038">
        <w:rPr>
          <w:rFonts w:ascii="Arial" w:eastAsia="Times New Roman" w:hAnsi="Arial" w:cs="Arial"/>
          <w:sz w:val="20"/>
          <w:szCs w:val="20"/>
        </w:rPr>
        <w:t>argeted use of relevant social media</w:t>
      </w:r>
      <w:r w:rsidR="00671AEA" w:rsidRPr="00ED1038">
        <w:rPr>
          <w:rFonts w:ascii="Arial" w:eastAsia="Times New Roman" w:hAnsi="Arial" w:cs="Arial"/>
          <w:sz w:val="20"/>
          <w:szCs w:val="20"/>
        </w:rPr>
        <w:t xml:space="preserve"> platforms</w:t>
      </w:r>
      <w:r w:rsidR="00630FDE" w:rsidRPr="00ED1038">
        <w:rPr>
          <w:rFonts w:ascii="Arial" w:eastAsia="Times New Roman" w:hAnsi="Arial" w:cs="Arial"/>
          <w:sz w:val="20"/>
          <w:szCs w:val="20"/>
        </w:rPr>
        <w:t>;</w:t>
      </w:r>
    </w:p>
    <w:p w14:paraId="145470F3" w14:textId="77777777" w:rsidR="00EC7815" w:rsidRPr="00ED1038" w:rsidRDefault="00212B81" w:rsidP="00CE41E7">
      <w:pPr>
        <w:tabs>
          <w:tab w:val="left" w:pos="1260"/>
          <w:tab w:val="left" w:pos="2304"/>
          <w:tab w:val="left" w:pos="2880"/>
          <w:tab w:val="left" w:pos="8647"/>
        </w:tabs>
        <w:spacing w:after="0" w:line="240" w:lineRule="auto"/>
        <w:ind w:left="1260" w:hanging="540"/>
        <w:jc w:val="both"/>
        <w:rPr>
          <w:rFonts w:ascii="Arial" w:eastAsia="Times New Roman" w:hAnsi="Arial" w:cs="Arial"/>
          <w:sz w:val="20"/>
          <w:szCs w:val="20"/>
        </w:rPr>
      </w:pPr>
      <w:r w:rsidRPr="00ED1038">
        <w:rPr>
          <w:rFonts w:ascii="Arial" w:eastAsia="Times New Roman" w:hAnsi="Arial" w:cs="Arial"/>
          <w:sz w:val="20"/>
          <w:szCs w:val="20"/>
        </w:rPr>
        <w:t>•</w:t>
      </w:r>
      <w:r w:rsidRPr="00ED1038">
        <w:rPr>
          <w:rFonts w:ascii="Arial" w:eastAsia="Times New Roman" w:hAnsi="Arial" w:cs="Arial"/>
          <w:sz w:val="20"/>
          <w:szCs w:val="20"/>
        </w:rPr>
        <w:tab/>
        <w:t>p</w:t>
      </w:r>
      <w:r w:rsidR="00EC7815" w:rsidRPr="00ED1038">
        <w:rPr>
          <w:rFonts w:ascii="Arial" w:eastAsia="Times New Roman" w:hAnsi="Arial" w:cs="Arial"/>
          <w:sz w:val="20"/>
          <w:szCs w:val="20"/>
        </w:rPr>
        <w:t xml:space="preserve">ublication of </w:t>
      </w:r>
      <w:r w:rsidR="00B107AB" w:rsidRPr="00ED1038">
        <w:rPr>
          <w:rFonts w:ascii="Arial" w:eastAsia="Times New Roman" w:hAnsi="Arial" w:cs="Arial"/>
          <w:sz w:val="20"/>
          <w:szCs w:val="20"/>
        </w:rPr>
        <w:t xml:space="preserve">updated </w:t>
      </w:r>
      <w:r w:rsidR="00EC7815" w:rsidRPr="00ED1038">
        <w:rPr>
          <w:rFonts w:ascii="Arial" w:eastAsia="Times New Roman" w:hAnsi="Arial" w:cs="Arial"/>
          <w:sz w:val="20"/>
          <w:szCs w:val="20"/>
        </w:rPr>
        <w:t>guidance (HRA Methodology) for tenants to understand what their rent pays for;</w:t>
      </w:r>
    </w:p>
    <w:p w14:paraId="067DE43C" w14:textId="77777777" w:rsidR="00630FDE" w:rsidRPr="00ED1038" w:rsidRDefault="00212B81" w:rsidP="00CE41E7">
      <w:pPr>
        <w:tabs>
          <w:tab w:val="left" w:pos="1260"/>
          <w:tab w:val="left" w:pos="2304"/>
          <w:tab w:val="left" w:pos="2880"/>
          <w:tab w:val="left" w:pos="8647"/>
        </w:tabs>
        <w:spacing w:after="0" w:line="240" w:lineRule="auto"/>
        <w:ind w:left="1260" w:hanging="540"/>
        <w:jc w:val="both"/>
        <w:rPr>
          <w:rFonts w:ascii="Arial" w:eastAsia="Times New Roman" w:hAnsi="Arial" w:cs="Arial"/>
          <w:sz w:val="20"/>
          <w:szCs w:val="20"/>
        </w:rPr>
      </w:pPr>
      <w:r w:rsidRPr="00ED1038">
        <w:rPr>
          <w:rFonts w:ascii="Arial" w:eastAsia="Times New Roman" w:hAnsi="Arial" w:cs="Arial"/>
          <w:sz w:val="20"/>
          <w:szCs w:val="20"/>
        </w:rPr>
        <w:t>•</w:t>
      </w:r>
      <w:r w:rsidRPr="00ED1038">
        <w:rPr>
          <w:rFonts w:ascii="Arial" w:eastAsia="Times New Roman" w:hAnsi="Arial" w:cs="Arial"/>
          <w:sz w:val="20"/>
          <w:szCs w:val="20"/>
        </w:rPr>
        <w:tab/>
      </w:r>
      <w:r w:rsidR="00B107AB" w:rsidRPr="00ED1038">
        <w:rPr>
          <w:rFonts w:ascii="Arial" w:eastAsia="Times New Roman" w:hAnsi="Arial" w:cs="Arial"/>
          <w:sz w:val="20"/>
          <w:szCs w:val="20"/>
        </w:rPr>
        <w:t xml:space="preserve">through </w:t>
      </w:r>
      <w:r w:rsidR="00671AEA" w:rsidRPr="00ED1038">
        <w:rPr>
          <w:rFonts w:ascii="Arial" w:eastAsia="Times New Roman" w:hAnsi="Arial" w:cs="Arial"/>
          <w:sz w:val="20"/>
          <w:szCs w:val="20"/>
        </w:rPr>
        <w:t xml:space="preserve">continued </w:t>
      </w:r>
      <w:r w:rsidR="00D579B9" w:rsidRPr="00ED1038">
        <w:rPr>
          <w:rFonts w:ascii="Arial" w:eastAsia="Times New Roman" w:hAnsi="Arial" w:cs="Arial"/>
          <w:sz w:val="20"/>
          <w:szCs w:val="20"/>
        </w:rPr>
        <w:t>collaboration</w:t>
      </w:r>
      <w:r w:rsidR="00B107AB" w:rsidRPr="00ED1038">
        <w:rPr>
          <w:rFonts w:ascii="Arial" w:eastAsia="Times New Roman" w:hAnsi="Arial" w:cs="Arial"/>
          <w:sz w:val="20"/>
          <w:szCs w:val="20"/>
        </w:rPr>
        <w:t xml:space="preserve"> with </w:t>
      </w:r>
      <w:r w:rsidR="00D579B9" w:rsidRPr="00ED1038">
        <w:rPr>
          <w:rFonts w:ascii="Arial" w:eastAsia="Times New Roman" w:hAnsi="Arial" w:cs="Arial"/>
          <w:sz w:val="20"/>
          <w:szCs w:val="20"/>
        </w:rPr>
        <w:t>Dundee Federation of Tenants Association and</w:t>
      </w:r>
      <w:r w:rsidR="00DE4A71" w:rsidRPr="00ED1038">
        <w:rPr>
          <w:rFonts w:ascii="Arial" w:eastAsia="Times New Roman" w:hAnsi="Arial" w:cs="Arial"/>
          <w:sz w:val="20"/>
          <w:szCs w:val="20"/>
        </w:rPr>
        <w:t xml:space="preserve"> registered tenants’ o</w:t>
      </w:r>
      <w:r w:rsidRPr="00ED1038">
        <w:rPr>
          <w:rFonts w:ascii="Arial" w:eastAsia="Times New Roman" w:hAnsi="Arial" w:cs="Arial"/>
          <w:sz w:val="20"/>
          <w:szCs w:val="20"/>
        </w:rPr>
        <w:t>rganisations</w:t>
      </w:r>
      <w:r w:rsidR="00D579B9" w:rsidRPr="00ED1038">
        <w:rPr>
          <w:rFonts w:ascii="Arial" w:eastAsia="Times New Roman" w:hAnsi="Arial" w:cs="Arial"/>
          <w:sz w:val="20"/>
          <w:szCs w:val="20"/>
        </w:rPr>
        <w:t>.</w:t>
      </w:r>
    </w:p>
    <w:p w14:paraId="26A98FFD" w14:textId="77777777" w:rsidR="00630FDE" w:rsidRPr="00ED1038" w:rsidRDefault="00630FDE" w:rsidP="00C27DC7">
      <w:pPr>
        <w:tabs>
          <w:tab w:val="left" w:pos="1134"/>
          <w:tab w:val="left" w:pos="2304"/>
          <w:tab w:val="left" w:pos="2880"/>
          <w:tab w:val="left" w:pos="8647"/>
        </w:tabs>
        <w:spacing w:after="0" w:line="240" w:lineRule="auto"/>
        <w:ind w:left="567" w:hanging="567"/>
        <w:jc w:val="both"/>
        <w:rPr>
          <w:rFonts w:ascii="Arial" w:eastAsia="Times New Roman" w:hAnsi="Arial" w:cs="Arial"/>
          <w:sz w:val="20"/>
          <w:szCs w:val="20"/>
        </w:rPr>
      </w:pPr>
    </w:p>
    <w:p w14:paraId="5205AD9B" w14:textId="77777777" w:rsidR="008B18F4" w:rsidRPr="00ED1038" w:rsidRDefault="00E448E5" w:rsidP="00CE41E7">
      <w:pPr>
        <w:tabs>
          <w:tab w:val="left" w:pos="1134"/>
          <w:tab w:val="left" w:pos="2304"/>
          <w:tab w:val="left" w:pos="2880"/>
          <w:tab w:val="left" w:pos="8647"/>
        </w:tabs>
        <w:spacing w:after="0" w:line="240" w:lineRule="auto"/>
        <w:ind w:left="720" w:hanging="720"/>
        <w:jc w:val="both"/>
        <w:rPr>
          <w:rFonts w:ascii="Arial" w:eastAsia="Times New Roman" w:hAnsi="Arial" w:cs="Arial"/>
          <w:sz w:val="20"/>
          <w:szCs w:val="20"/>
        </w:rPr>
      </w:pPr>
      <w:r w:rsidRPr="00ED1038">
        <w:rPr>
          <w:rFonts w:ascii="Arial" w:eastAsia="Times New Roman" w:hAnsi="Arial" w:cs="Arial"/>
          <w:sz w:val="20"/>
          <w:szCs w:val="20"/>
        </w:rPr>
        <w:t>10</w:t>
      </w:r>
      <w:r w:rsidR="00A04EFF" w:rsidRPr="00ED1038">
        <w:rPr>
          <w:rFonts w:ascii="Arial" w:eastAsia="Times New Roman" w:hAnsi="Arial" w:cs="Arial"/>
          <w:sz w:val="20"/>
          <w:szCs w:val="20"/>
        </w:rPr>
        <w:t>.</w:t>
      </w:r>
      <w:r w:rsidR="009679A5" w:rsidRPr="00ED1038">
        <w:rPr>
          <w:rFonts w:ascii="Arial" w:eastAsia="Times New Roman" w:hAnsi="Arial" w:cs="Arial"/>
          <w:sz w:val="20"/>
          <w:szCs w:val="20"/>
        </w:rPr>
        <w:t>4</w:t>
      </w:r>
      <w:r w:rsidR="00A04EFF" w:rsidRPr="00ED1038">
        <w:rPr>
          <w:rFonts w:ascii="Arial" w:eastAsia="Times New Roman" w:hAnsi="Arial" w:cs="Arial"/>
          <w:sz w:val="20"/>
          <w:szCs w:val="20"/>
        </w:rPr>
        <w:tab/>
      </w:r>
      <w:r w:rsidR="00630FDE" w:rsidRPr="00ED1038">
        <w:rPr>
          <w:rFonts w:ascii="Arial" w:eastAsia="Times New Roman" w:hAnsi="Arial" w:cs="Arial"/>
          <w:sz w:val="20"/>
          <w:szCs w:val="20"/>
        </w:rPr>
        <w:t xml:space="preserve">Following the consultation period and having regard to the proposals and the views expressed, there will be a further report to the </w:t>
      </w:r>
      <w:r w:rsidR="000C229A" w:rsidRPr="00ED1038">
        <w:rPr>
          <w:rFonts w:ascii="Arial" w:eastAsia="Times New Roman" w:hAnsi="Arial" w:cs="Arial"/>
          <w:sz w:val="20"/>
          <w:szCs w:val="20"/>
        </w:rPr>
        <w:t>Policy &amp; Resources</w:t>
      </w:r>
      <w:r w:rsidR="00630FDE" w:rsidRPr="00ED1038">
        <w:rPr>
          <w:rFonts w:ascii="Arial" w:eastAsia="Times New Roman" w:hAnsi="Arial" w:cs="Arial"/>
          <w:sz w:val="20"/>
          <w:szCs w:val="20"/>
        </w:rPr>
        <w:t xml:space="preserve"> Committee on </w:t>
      </w:r>
      <w:r w:rsidR="00E36418" w:rsidRPr="00ED1038">
        <w:rPr>
          <w:rFonts w:ascii="Arial" w:eastAsia="Times New Roman" w:hAnsi="Arial" w:cs="Arial"/>
          <w:sz w:val="20"/>
          <w:szCs w:val="20"/>
        </w:rPr>
        <w:t>24</w:t>
      </w:r>
      <w:r w:rsidR="00630FDE" w:rsidRPr="00ED1038">
        <w:rPr>
          <w:rFonts w:ascii="Arial" w:eastAsia="Times New Roman" w:hAnsi="Arial" w:cs="Arial"/>
          <w:sz w:val="20"/>
          <w:szCs w:val="20"/>
        </w:rPr>
        <w:t xml:space="preserve"> January 20</w:t>
      </w:r>
      <w:r w:rsidR="00DE4A71" w:rsidRPr="00ED1038">
        <w:rPr>
          <w:rFonts w:ascii="Arial" w:eastAsia="Times New Roman" w:hAnsi="Arial" w:cs="Arial"/>
          <w:sz w:val="20"/>
          <w:szCs w:val="20"/>
        </w:rPr>
        <w:t>2</w:t>
      </w:r>
      <w:r w:rsidR="00E36418" w:rsidRPr="00ED1038">
        <w:rPr>
          <w:rFonts w:ascii="Arial" w:eastAsia="Times New Roman" w:hAnsi="Arial" w:cs="Arial"/>
          <w:sz w:val="20"/>
          <w:szCs w:val="20"/>
        </w:rPr>
        <w:t>2</w:t>
      </w:r>
      <w:r w:rsidR="00630FDE" w:rsidRPr="00ED1038">
        <w:rPr>
          <w:rFonts w:ascii="Arial" w:eastAsia="Times New Roman" w:hAnsi="Arial" w:cs="Arial"/>
          <w:sz w:val="20"/>
          <w:szCs w:val="20"/>
        </w:rPr>
        <w:t>.</w:t>
      </w:r>
    </w:p>
    <w:p w14:paraId="3EE20533" w14:textId="77777777" w:rsidR="00A6180C" w:rsidRPr="00ED1038" w:rsidRDefault="00A6180C" w:rsidP="00CE41E7">
      <w:pPr>
        <w:tabs>
          <w:tab w:val="left" w:pos="1134"/>
          <w:tab w:val="left" w:pos="2304"/>
          <w:tab w:val="left" w:pos="2880"/>
          <w:tab w:val="left" w:pos="8647"/>
        </w:tabs>
        <w:spacing w:after="0" w:line="240" w:lineRule="auto"/>
        <w:ind w:left="720" w:hanging="720"/>
        <w:jc w:val="both"/>
        <w:rPr>
          <w:rFonts w:ascii="Arial" w:eastAsia="Times New Roman" w:hAnsi="Arial" w:cs="Arial"/>
          <w:sz w:val="20"/>
          <w:szCs w:val="20"/>
        </w:rPr>
      </w:pPr>
    </w:p>
    <w:p w14:paraId="7FEE52F6" w14:textId="77777777" w:rsidR="00A6180C" w:rsidRPr="00ED1038" w:rsidRDefault="00A6180C" w:rsidP="00CE41E7">
      <w:pPr>
        <w:tabs>
          <w:tab w:val="left" w:pos="1134"/>
          <w:tab w:val="left" w:pos="2304"/>
          <w:tab w:val="left" w:pos="2880"/>
          <w:tab w:val="left" w:pos="8647"/>
        </w:tabs>
        <w:spacing w:after="0" w:line="240" w:lineRule="auto"/>
        <w:ind w:left="720" w:hanging="720"/>
        <w:jc w:val="both"/>
        <w:rPr>
          <w:rFonts w:ascii="Arial" w:eastAsia="Times New Roman" w:hAnsi="Arial" w:cs="Arial"/>
          <w:sz w:val="20"/>
          <w:szCs w:val="20"/>
        </w:rPr>
      </w:pPr>
    </w:p>
    <w:p w14:paraId="74F1949C" w14:textId="77777777" w:rsidR="00630FDE" w:rsidRPr="00ED1038" w:rsidRDefault="00E448E5" w:rsidP="00CE41E7">
      <w:pPr>
        <w:tabs>
          <w:tab w:val="left" w:pos="1134"/>
          <w:tab w:val="left" w:pos="2304"/>
          <w:tab w:val="left" w:pos="2880"/>
          <w:tab w:val="left" w:pos="8647"/>
        </w:tabs>
        <w:spacing w:after="0" w:line="240" w:lineRule="auto"/>
        <w:ind w:left="720" w:hanging="720"/>
        <w:jc w:val="both"/>
        <w:rPr>
          <w:rFonts w:ascii="Arial" w:eastAsia="Times New Roman" w:hAnsi="Arial" w:cs="Arial"/>
          <w:b/>
          <w:sz w:val="20"/>
          <w:szCs w:val="20"/>
        </w:rPr>
      </w:pPr>
      <w:r w:rsidRPr="00ED1038">
        <w:rPr>
          <w:rFonts w:ascii="Arial" w:eastAsia="Times New Roman" w:hAnsi="Arial" w:cs="Arial"/>
          <w:sz w:val="20"/>
          <w:szCs w:val="20"/>
        </w:rPr>
        <w:t>11</w:t>
      </w:r>
      <w:r w:rsidR="00630FDE" w:rsidRPr="00ED1038">
        <w:rPr>
          <w:rFonts w:ascii="Arial" w:eastAsia="Times New Roman" w:hAnsi="Arial" w:cs="Arial"/>
          <w:sz w:val="20"/>
          <w:szCs w:val="20"/>
        </w:rPr>
        <w:tab/>
      </w:r>
      <w:r w:rsidR="00630FDE" w:rsidRPr="00ED1038">
        <w:rPr>
          <w:rFonts w:ascii="Arial" w:eastAsia="Times New Roman" w:hAnsi="Arial" w:cs="Arial"/>
          <w:b/>
          <w:sz w:val="20"/>
          <w:szCs w:val="20"/>
        </w:rPr>
        <w:t>POLICY IMPLICATIONS</w:t>
      </w:r>
    </w:p>
    <w:p w14:paraId="72DF1E94" w14:textId="77777777" w:rsidR="00630FDE" w:rsidRPr="00ED1038" w:rsidRDefault="00630FDE" w:rsidP="00CE41E7">
      <w:pPr>
        <w:tabs>
          <w:tab w:val="left" w:pos="1134"/>
          <w:tab w:val="left" w:pos="2304"/>
          <w:tab w:val="left" w:pos="2880"/>
          <w:tab w:val="left" w:pos="8647"/>
        </w:tabs>
        <w:spacing w:after="0" w:line="240" w:lineRule="auto"/>
        <w:ind w:left="720" w:hanging="720"/>
        <w:jc w:val="both"/>
        <w:rPr>
          <w:rFonts w:ascii="Arial" w:eastAsia="Times New Roman" w:hAnsi="Arial" w:cs="Arial"/>
          <w:sz w:val="20"/>
          <w:szCs w:val="20"/>
        </w:rPr>
      </w:pPr>
    </w:p>
    <w:p w14:paraId="74A501FB" w14:textId="77777777" w:rsidR="00DE227B" w:rsidRPr="00ED1038" w:rsidRDefault="00E448E5" w:rsidP="00CE41E7">
      <w:pPr>
        <w:tabs>
          <w:tab w:val="left" w:pos="1134"/>
          <w:tab w:val="left" w:pos="2304"/>
          <w:tab w:val="left" w:pos="2880"/>
          <w:tab w:val="left" w:pos="8647"/>
        </w:tabs>
        <w:spacing w:after="0" w:line="240" w:lineRule="auto"/>
        <w:ind w:left="720" w:hanging="720"/>
        <w:jc w:val="both"/>
        <w:rPr>
          <w:rFonts w:ascii="Arial" w:eastAsia="Times New Roman" w:hAnsi="Arial" w:cs="Arial"/>
          <w:sz w:val="20"/>
          <w:szCs w:val="20"/>
        </w:rPr>
      </w:pPr>
      <w:r w:rsidRPr="00ED1038">
        <w:rPr>
          <w:rFonts w:ascii="Arial" w:eastAsia="Times New Roman" w:hAnsi="Arial" w:cs="Arial"/>
          <w:sz w:val="20"/>
          <w:szCs w:val="20"/>
        </w:rPr>
        <w:t>11</w:t>
      </w:r>
      <w:r w:rsidR="00630FDE" w:rsidRPr="00ED1038">
        <w:rPr>
          <w:rFonts w:ascii="Arial" w:eastAsia="Times New Roman" w:hAnsi="Arial" w:cs="Arial"/>
          <w:sz w:val="20"/>
          <w:szCs w:val="20"/>
        </w:rPr>
        <w:t>.1</w:t>
      </w:r>
      <w:r w:rsidR="00630FDE" w:rsidRPr="00ED1038">
        <w:rPr>
          <w:rFonts w:ascii="Arial" w:eastAsia="Times New Roman" w:hAnsi="Arial" w:cs="Arial"/>
          <w:sz w:val="20"/>
          <w:szCs w:val="20"/>
        </w:rPr>
        <w:tab/>
        <w:t>This report has been screened for any policy implications in respect of Sustainability, Strategic Environmental Assessment, Anti-Poverty, Equality Impact Assessment and Risk Management.  There are no major issues.</w:t>
      </w:r>
    </w:p>
    <w:p w14:paraId="2736ECC8" w14:textId="77777777" w:rsidR="00E4344D" w:rsidRPr="00ED1038" w:rsidRDefault="00E4344D" w:rsidP="00C27DC7">
      <w:pPr>
        <w:tabs>
          <w:tab w:val="left" w:pos="1134"/>
          <w:tab w:val="left" w:pos="2304"/>
          <w:tab w:val="left" w:pos="2880"/>
          <w:tab w:val="left" w:pos="8647"/>
        </w:tabs>
        <w:spacing w:after="0" w:line="240" w:lineRule="auto"/>
        <w:ind w:left="567" w:hanging="567"/>
        <w:jc w:val="both"/>
        <w:rPr>
          <w:rFonts w:ascii="Arial" w:eastAsia="Times New Roman" w:hAnsi="Arial" w:cs="Arial"/>
          <w:sz w:val="20"/>
          <w:szCs w:val="20"/>
        </w:rPr>
      </w:pPr>
    </w:p>
    <w:p w14:paraId="0126789F" w14:textId="77777777" w:rsidR="00630FDE" w:rsidRPr="00ED1038" w:rsidRDefault="00630FDE" w:rsidP="00CE41E7">
      <w:pPr>
        <w:tabs>
          <w:tab w:val="left" w:pos="1134"/>
          <w:tab w:val="left" w:pos="2304"/>
          <w:tab w:val="left" w:pos="2880"/>
          <w:tab w:val="left" w:pos="8647"/>
        </w:tabs>
        <w:spacing w:after="0" w:line="240" w:lineRule="auto"/>
        <w:ind w:left="720" w:hanging="720"/>
        <w:jc w:val="both"/>
        <w:rPr>
          <w:rFonts w:ascii="Arial" w:eastAsia="Times New Roman" w:hAnsi="Arial" w:cs="Arial"/>
          <w:sz w:val="20"/>
          <w:szCs w:val="20"/>
        </w:rPr>
      </w:pPr>
      <w:r w:rsidRPr="00ED1038">
        <w:rPr>
          <w:rFonts w:ascii="Arial" w:eastAsia="Times New Roman" w:hAnsi="Arial" w:cs="Arial"/>
          <w:sz w:val="20"/>
          <w:szCs w:val="20"/>
        </w:rPr>
        <w:t>1</w:t>
      </w:r>
      <w:r w:rsidR="00E448E5" w:rsidRPr="00ED1038">
        <w:rPr>
          <w:rFonts w:ascii="Arial" w:eastAsia="Times New Roman" w:hAnsi="Arial" w:cs="Arial"/>
          <w:sz w:val="20"/>
          <w:szCs w:val="20"/>
        </w:rPr>
        <w:t>2</w:t>
      </w:r>
      <w:r w:rsidRPr="00ED1038">
        <w:rPr>
          <w:rFonts w:ascii="Arial" w:eastAsia="Times New Roman" w:hAnsi="Arial" w:cs="Arial"/>
          <w:sz w:val="20"/>
          <w:szCs w:val="20"/>
        </w:rPr>
        <w:tab/>
      </w:r>
      <w:r w:rsidRPr="00ED1038">
        <w:rPr>
          <w:rFonts w:ascii="Arial" w:eastAsia="Times New Roman" w:hAnsi="Arial" w:cs="Arial"/>
          <w:b/>
          <w:sz w:val="20"/>
          <w:szCs w:val="20"/>
        </w:rPr>
        <w:t>CONSULTATIONS</w:t>
      </w:r>
    </w:p>
    <w:p w14:paraId="3BEE1593" w14:textId="77777777" w:rsidR="00630FDE" w:rsidRPr="00ED1038" w:rsidRDefault="00630FDE" w:rsidP="00CE41E7">
      <w:pPr>
        <w:tabs>
          <w:tab w:val="left" w:pos="1134"/>
          <w:tab w:val="left" w:pos="2304"/>
          <w:tab w:val="left" w:pos="2880"/>
          <w:tab w:val="left" w:pos="8647"/>
        </w:tabs>
        <w:spacing w:after="0" w:line="240" w:lineRule="auto"/>
        <w:ind w:left="720" w:hanging="720"/>
        <w:jc w:val="both"/>
        <w:rPr>
          <w:rFonts w:ascii="Arial" w:eastAsia="Times New Roman" w:hAnsi="Arial" w:cs="Arial"/>
          <w:sz w:val="20"/>
          <w:szCs w:val="20"/>
        </w:rPr>
      </w:pPr>
    </w:p>
    <w:p w14:paraId="37BE6984" w14:textId="77777777" w:rsidR="00630FDE" w:rsidRPr="00ED1038" w:rsidRDefault="00630FDE" w:rsidP="00CE41E7">
      <w:pPr>
        <w:tabs>
          <w:tab w:val="left" w:pos="1134"/>
          <w:tab w:val="left" w:pos="2304"/>
          <w:tab w:val="left" w:pos="2880"/>
          <w:tab w:val="left" w:pos="8647"/>
        </w:tabs>
        <w:spacing w:after="0" w:line="240" w:lineRule="auto"/>
        <w:ind w:left="720" w:hanging="720"/>
        <w:jc w:val="both"/>
        <w:rPr>
          <w:rFonts w:ascii="Arial" w:eastAsia="Times New Roman" w:hAnsi="Arial" w:cs="Arial"/>
          <w:sz w:val="20"/>
          <w:szCs w:val="20"/>
        </w:rPr>
      </w:pPr>
      <w:r w:rsidRPr="00ED1038">
        <w:rPr>
          <w:rFonts w:ascii="Arial" w:eastAsia="Times New Roman" w:hAnsi="Arial" w:cs="Arial"/>
          <w:sz w:val="20"/>
          <w:szCs w:val="20"/>
        </w:rPr>
        <w:t>1</w:t>
      </w:r>
      <w:r w:rsidR="00E448E5" w:rsidRPr="00ED1038">
        <w:rPr>
          <w:rFonts w:ascii="Arial" w:eastAsia="Times New Roman" w:hAnsi="Arial" w:cs="Arial"/>
          <w:sz w:val="20"/>
          <w:szCs w:val="20"/>
        </w:rPr>
        <w:t>2</w:t>
      </w:r>
      <w:r w:rsidRPr="00ED1038">
        <w:rPr>
          <w:rFonts w:ascii="Arial" w:eastAsia="Times New Roman" w:hAnsi="Arial" w:cs="Arial"/>
          <w:sz w:val="20"/>
          <w:szCs w:val="20"/>
        </w:rPr>
        <w:t>.1</w:t>
      </w:r>
      <w:r w:rsidRPr="00ED1038">
        <w:rPr>
          <w:rFonts w:ascii="Arial" w:eastAsia="Times New Roman" w:hAnsi="Arial" w:cs="Arial"/>
          <w:sz w:val="20"/>
          <w:szCs w:val="20"/>
        </w:rPr>
        <w:tab/>
        <w:t>The Council Management Team were consulted in the preparation of this report and agree with the content.</w:t>
      </w:r>
    </w:p>
    <w:p w14:paraId="1EE2CC57" w14:textId="77777777" w:rsidR="003B0165" w:rsidRPr="00ED1038" w:rsidRDefault="003B0165" w:rsidP="00CE41E7">
      <w:pPr>
        <w:tabs>
          <w:tab w:val="left" w:pos="1134"/>
          <w:tab w:val="left" w:pos="2304"/>
          <w:tab w:val="left" w:pos="2880"/>
          <w:tab w:val="left" w:pos="8647"/>
        </w:tabs>
        <w:spacing w:after="0" w:line="240" w:lineRule="auto"/>
        <w:ind w:left="720" w:hanging="720"/>
        <w:jc w:val="both"/>
        <w:rPr>
          <w:rFonts w:ascii="Arial" w:eastAsia="Times New Roman" w:hAnsi="Arial" w:cs="Arial"/>
          <w:sz w:val="20"/>
          <w:szCs w:val="20"/>
        </w:rPr>
      </w:pPr>
    </w:p>
    <w:p w14:paraId="7DC5E1D8" w14:textId="77777777" w:rsidR="00630FDE" w:rsidRPr="00ED1038" w:rsidRDefault="00630FDE" w:rsidP="00CE41E7">
      <w:pPr>
        <w:tabs>
          <w:tab w:val="left" w:pos="1134"/>
          <w:tab w:val="left" w:pos="2304"/>
          <w:tab w:val="left" w:pos="2880"/>
          <w:tab w:val="left" w:pos="8647"/>
        </w:tabs>
        <w:spacing w:after="0" w:line="240" w:lineRule="auto"/>
        <w:ind w:left="720" w:hanging="720"/>
        <w:jc w:val="both"/>
        <w:rPr>
          <w:rFonts w:ascii="Arial" w:eastAsia="Times New Roman" w:hAnsi="Arial" w:cs="Arial"/>
          <w:sz w:val="20"/>
          <w:szCs w:val="20"/>
        </w:rPr>
      </w:pPr>
    </w:p>
    <w:p w14:paraId="2B761D2C" w14:textId="77777777" w:rsidR="00630FDE" w:rsidRPr="00ED1038" w:rsidRDefault="00630FDE" w:rsidP="00CE41E7">
      <w:pPr>
        <w:tabs>
          <w:tab w:val="left" w:pos="1134"/>
          <w:tab w:val="left" w:pos="2304"/>
          <w:tab w:val="left" w:pos="2880"/>
          <w:tab w:val="left" w:pos="8647"/>
        </w:tabs>
        <w:spacing w:after="0" w:line="240" w:lineRule="auto"/>
        <w:ind w:left="720" w:hanging="720"/>
        <w:jc w:val="both"/>
        <w:rPr>
          <w:rFonts w:ascii="Arial" w:eastAsia="Times New Roman" w:hAnsi="Arial" w:cs="Arial"/>
          <w:sz w:val="20"/>
          <w:szCs w:val="20"/>
        </w:rPr>
      </w:pPr>
      <w:r w:rsidRPr="00ED1038">
        <w:rPr>
          <w:rFonts w:ascii="Arial" w:eastAsia="Times New Roman" w:hAnsi="Arial" w:cs="Arial"/>
          <w:sz w:val="20"/>
          <w:szCs w:val="20"/>
        </w:rPr>
        <w:t>1</w:t>
      </w:r>
      <w:r w:rsidR="00E448E5" w:rsidRPr="00ED1038">
        <w:rPr>
          <w:rFonts w:ascii="Arial" w:eastAsia="Times New Roman" w:hAnsi="Arial" w:cs="Arial"/>
          <w:sz w:val="20"/>
          <w:szCs w:val="20"/>
        </w:rPr>
        <w:t>3</w:t>
      </w:r>
      <w:r w:rsidRPr="00ED1038">
        <w:rPr>
          <w:rFonts w:ascii="Arial" w:eastAsia="Times New Roman" w:hAnsi="Arial" w:cs="Arial"/>
          <w:sz w:val="20"/>
          <w:szCs w:val="20"/>
        </w:rPr>
        <w:tab/>
      </w:r>
      <w:r w:rsidRPr="00ED1038">
        <w:rPr>
          <w:rFonts w:ascii="Arial" w:eastAsia="Times New Roman" w:hAnsi="Arial" w:cs="Arial"/>
          <w:b/>
          <w:sz w:val="20"/>
          <w:szCs w:val="20"/>
        </w:rPr>
        <w:t>BACKGROUND PAPERS</w:t>
      </w:r>
    </w:p>
    <w:p w14:paraId="6D49E4A4" w14:textId="77777777" w:rsidR="00630FDE" w:rsidRPr="00ED1038" w:rsidRDefault="00630FDE" w:rsidP="00CE41E7">
      <w:pPr>
        <w:tabs>
          <w:tab w:val="left" w:pos="1134"/>
          <w:tab w:val="left" w:pos="2304"/>
          <w:tab w:val="left" w:pos="2880"/>
          <w:tab w:val="left" w:pos="8647"/>
        </w:tabs>
        <w:spacing w:after="0" w:line="240" w:lineRule="auto"/>
        <w:ind w:left="720" w:hanging="720"/>
        <w:jc w:val="both"/>
        <w:rPr>
          <w:rFonts w:ascii="Arial" w:eastAsia="Times New Roman" w:hAnsi="Arial" w:cs="Arial"/>
          <w:sz w:val="20"/>
          <w:szCs w:val="20"/>
        </w:rPr>
      </w:pPr>
    </w:p>
    <w:p w14:paraId="46D5689B" w14:textId="77777777" w:rsidR="00630FDE" w:rsidRPr="00ED1038" w:rsidRDefault="00630FDE" w:rsidP="00CE41E7">
      <w:pPr>
        <w:tabs>
          <w:tab w:val="left" w:pos="1134"/>
          <w:tab w:val="left" w:pos="2304"/>
          <w:tab w:val="left" w:pos="2880"/>
          <w:tab w:val="left" w:pos="8647"/>
        </w:tabs>
        <w:spacing w:after="0" w:line="240" w:lineRule="auto"/>
        <w:ind w:left="720" w:hanging="720"/>
        <w:jc w:val="both"/>
        <w:rPr>
          <w:rFonts w:ascii="Arial" w:eastAsia="Times New Roman" w:hAnsi="Arial" w:cs="Arial"/>
          <w:sz w:val="20"/>
          <w:szCs w:val="20"/>
        </w:rPr>
      </w:pPr>
      <w:r w:rsidRPr="00ED1038">
        <w:rPr>
          <w:rFonts w:ascii="Arial" w:eastAsia="Times New Roman" w:hAnsi="Arial" w:cs="Arial"/>
          <w:sz w:val="20"/>
          <w:szCs w:val="20"/>
        </w:rPr>
        <w:t>1</w:t>
      </w:r>
      <w:r w:rsidR="00E448E5" w:rsidRPr="00ED1038">
        <w:rPr>
          <w:rFonts w:ascii="Arial" w:eastAsia="Times New Roman" w:hAnsi="Arial" w:cs="Arial"/>
          <w:sz w:val="20"/>
          <w:szCs w:val="20"/>
        </w:rPr>
        <w:t>3</w:t>
      </w:r>
      <w:r w:rsidRPr="00ED1038">
        <w:rPr>
          <w:rFonts w:ascii="Arial" w:eastAsia="Times New Roman" w:hAnsi="Arial" w:cs="Arial"/>
          <w:sz w:val="20"/>
          <w:szCs w:val="20"/>
        </w:rPr>
        <w:t>.1</w:t>
      </w:r>
      <w:r w:rsidRPr="00ED1038">
        <w:rPr>
          <w:rFonts w:ascii="Arial" w:eastAsia="Times New Roman" w:hAnsi="Arial" w:cs="Arial"/>
          <w:sz w:val="20"/>
          <w:szCs w:val="20"/>
        </w:rPr>
        <w:tab/>
        <w:t>None.</w:t>
      </w:r>
    </w:p>
    <w:p w14:paraId="041AD40F" w14:textId="77777777" w:rsidR="00E04312" w:rsidRPr="00ED1038" w:rsidRDefault="00E04312" w:rsidP="00C27DC7">
      <w:pPr>
        <w:tabs>
          <w:tab w:val="left" w:pos="567"/>
          <w:tab w:val="left" w:pos="2304"/>
          <w:tab w:val="left" w:pos="2880"/>
          <w:tab w:val="left" w:pos="3312"/>
          <w:tab w:val="left" w:pos="5760"/>
          <w:tab w:val="left" w:pos="8647"/>
        </w:tabs>
        <w:spacing w:after="0" w:line="240" w:lineRule="auto"/>
        <w:ind w:left="567" w:hanging="567"/>
        <w:jc w:val="both"/>
        <w:rPr>
          <w:rFonts w:ascii="Arial" w:eastAsia="Times New Roman" w:hAnsi="Arial" w:cs="Arial"/>
          <w:sz w:val="20"/>
          <w:szCs w:val="20"/>
        </w:rPr>
      </w:pPr>
    </w:p>
    <w:p w14:paraId="1445FD72" w14:textId="77777777" w:rsidR="00E04312" w:rsidRPr="00ED1038" w:rsidRDefault="00E04312" w:rsidP="00C27DC7">
      <w:pPr>
        <w:tabs>
          <w:tab w:val="left" w:pos="567"/>
          <w:tab w:val="left" w:pos="4608"/>
          <w:tab w:val="left" w:pos="8910"/>
        </w:tabs>
        <w:spacing w:after="0" w:line="240" w:lineRule="auto"/>
        <w:jc w:val="both"/>
        <w:rPr>
          <w:rFonts w:ascii="Arial" w:eastAsia="Times New Roman" w:hAnsi="Arial" w:cs="Arial"/>
          <w:sz w:val="20"/>
          <w:szCs w:val="20"/>
        </w:rPr>
      </w:pPr>
    </w:p>
    <w:p w14:paraId="5C18C884" w14:textId="77777777" w:rsidR="00E04312" w:rsidRPr="00ED1038" w:rsidRDefault="00E04312" w:rsidP="00C27DC7">
      <w:pPr>
        <w:tabs>
          <w:tab w:val="left" w:pos="567"/>
          <w:tab w:val="left" w:pos="4608"/>
          <w:tab w:val="left" w:pos="8910"/>
        </w:tabs>
        <w:spacing w:after="0" w:line="240" w:lineRule="auto"/>
        <w:ind w:left="567" w:hanging="567"/>
        <w:jc w:val="both"/>
        <w:rPr>
          <w:rFonts w:ascii="Arial" w:eastAsia="Times New Roman" w:hAnsi="Arial" w:cs="Arial"/>
          <w:b/>
          <w:sz w:val="20"/>
          <w:szCs w:val="20"/>
          <w:u w:val="single"/>
        </w:rPr>
      </w:pPr>
      <w:r w:rsidRPr="00ED1038">
        <w:rPr>
          <w:rFonts w:ascii="Arial" w:eastAsia="Times New Roman" w:hAnsi="Arial" w:cs="Arial"/>
          <w:b/>
          <w:sz w:val="20"/>
          <w:szCs w:val="20"/>
        </w:rPr>
        <w:t>ELAINE ZWIRLEIN</w:t>
      </w:r>
    </w:p>
    <w:p w14:paraId="3DD16272" w14:textId="77777777" w:rsidR="00E04312" w:rsidRPr="00ED1038" w:rsidRDefault="006E666B" w:rsidP="00C27DC7">
      <w:pPr>
        <w:keepNext/>
        <w:tabs>
          <w:tab w:val="left" w:pos="567"/>
          <w:tab w:val="left" w:pos="4608"/>
          <w:tab w:val="left" w:pos="8910"/>
          <w:tab w:val="left" w:pos="9020"/>
        </w:tabs>
        <w:spacing w:after="0" w:line="240" w:lineRule="auto"/>
        <w:ind w:left="567" w:hanging="567"/>
        <w:jc w:val="both"/>
        <w:outlineLvl w:val="1"/>
        <w:rPr>
          <w:rFonts w:ascii="Arial" w:eastAsia="Times New Roman" w:hAnsi="Arial" w:cs="Arial"/>
          <w:sz w:val="20"/>
          <w:szCs w:val="20"/>
        </w:rPr>
      </w:pPr>
      <w:r w:rsidRPr="00ED1038">
        <w:rPr>
          <w:rFonts w:ascii="Arial" w:eastAsia="Times New Roman" w:hAnsi="Arial" w:cs="Arial"/>
          <w:b/>
          <w:sz w:val="20"/>
          <w:szCs w:val="20"/>
        </w:rPr>
        <w:t xml:space="preserve">EXECUTIVE </w:t>
      </w:r>
      <w:r w:rsidR="00E04312" w:rsidRPr="00ED1038">
        <w:rPr>
          <w:rFonts w:ascii="Arial" w:eastAsia="Times New Roman" w:hAnsi="Arial" w:cs="Arial"/>
          <w:b/>
          <w:sz w:val="20"/>
          <w:szCs w:val="20"/>
        </w:rPr>
        <w:t xml:space="preserve">DIRECTOR OF </w:t>
      </w:r>
      <w:r w:rsidRPr="00ED1038">
        <w:rPr>
          <w:rFonts w:ascii="Arial" w:eastAsia="Times New Roman" w:hAnsi="Arial" w:cs="Arial"/>
          <w:b/>
          <w:sz w:val="20"/>
          <w:szCs w:val="20"/>
        </w:rPr>
        <w:t>NEIGHBOURHOOD SERVICES</w:t>
      </w:r>
    </w:p>
    <w:p w14:paraId="24BA77DF" w14:textId="5F227A85" w:rsidR="006B373D" w:rsidRPr="00ED1038" w:rsidRDefault="00DF659E" w:rsidP="00C27DC7">
      <w:pPr>
        <w:pStyle w:val="Title"/>
        <w:jc w:val="both"/>
        <w:rPr>
          <w:rFonts w:ascii="Arial" w:eastAsia="Times New Roman" w:hAnsi="Arial" w:cs="Arial"/>
          <w:b/>
          <w:color w:val="000000" w:themeColor="text1"/>
          <w:spacing w:val="0"/>
          <w:kern w:val="0"/>
          <w:sz w:val="20"/>
          <w:szCs w:val="20"/>
        </w:rPr>
      </w:pPr>
      <w:r>
        <w:rPr>
          <w:rFonts w:ascii="Arial" w:eastAsia="Times New Roman" w:hAnsi="Arial" w:cs="Arial"/>
          <w:b/>
          <w:color w:val="000000" w:themeColor="text1"/>
          <w:spacing w:val="0"/>
          <w:kern w:val="0"/>
          <w:sz w:val="20"/>
          <w:szCs w:val="20"/>
        </w:rPr>
        <w:t>11</w:t>
      </w:r>
      <w:bookmarkStart w:id="1" w:name="_GoBack"/>
      <w:bookmarkEnd w:id="1"/>
      <w:r w:rsidR="000E229D">
        <w:rPr>
          <w:rFonts w:ascii="Arial" w:eastAsia="Times New Roman" w:hAnsi="Arial" w:cs="Arial"/>
          <w:b/>
          <w:color w:val="000000" w:themeColor="text1"/>
          <w:spacing w:val="0"/>
          <w:kern w:val="0"/>
          <w:sz w:val="20"/>
          <w:szCs w:val="20"/>
        </w:rPr>
        <w:t xml:space="preserve"> October 2021</w:t>
      </w:r>
    </w:p>
    <w:p w14:paraId="2095724A" w14:textId="77777777" w:rsidR="006B373D" w:rsidRPr="00ED1038" w:rsidRDefault="006B373D" w:rsidP="00C27DC7">
      <w:pPr>
        <w:pStyle w:val="Title"/>
        <w:jc w:val="both"/>
        <w:rPr>
          <w:rFonts w:ascii="Arial" w:eastAsia="Times New Roman" w:hAnsi="Arial" w:cs="Arial"/>
          <w:b/>
          <w:spacing w:val="0"/>
          <w:kern w:val="0"/>
          <w:sz w:val="20"/>
          <w:szCs w:val="20"/>
        </w:rPr>
      </w:pPr>
    </w:p>
    <w:p w14:paraId="204E5747" w14:textId="77777777" w:rsidR="004A27EE" w:rsidRPr="008F63F5" w:rsidRDefault="00420999" w:rsidP="003C3367">
      <w:pPr>
        <w:pStyle w:val="Title"/>
        <w:jc w:val="right"/>
        <w:rPr>
          <w:rFonts w:ascii="Arial" w:eastAsia="Times New Roman" w:hAnsi="Arial"/>
          <w:b/>
          <w:sz w:val="22"/>
          <w:szCs w:val="22"/>
          <w:u w:val="single"/>
        </w:rPr>
      </w:pPr>
      <w:r w:rsidRPr="00C27DC7">
        <w:rPr>
          <w:rFonts w:ascii="Arial" w:eastAsia="Times New Roman" w:hAnsi="Arial" w:cs="Arial"/>
          <w:sz w:val="20"/>
          <w:szCs w:val="20"/>
          <w:u w:val="single"/>
        </w:rPr>
        <w:br w:type="page"/>
      </w:r>
      <w:r w:rsidR="004A27EE" w:rsidRPr="008F63F5">
        <w:rPr>
          <w:rFonts w:ascii="Arial" w:eastAsia="Times New Roman" w:hAnsi="Arial"/>
          <w:b/>
          <w:sz w:val="22"/>
          <w:szCs w:val="22"/>
          <w:u w:val="single"/>
        </w:rPr>
        <w:lastRenderedPageBreak/>
        <w:t>Appendix 1</w:t>
      </w:r>
    </w:p>
    <w:p w14:paraId="787702D3" w14:textId="77777777" w:rsidR="004A27EE" w:rsidRPr="008F63F5" w:rsidRDefault="004A27EE" w:rsidP="004A27EE">
      <w:pPr>
        <w:spacing w:after="0" w:line="240" w:lineRule="auto"/>
        <w:jc w:val="center"/>
        <w:rPr>
          <w:rFonts w:ascii="Arial" w:eastAsia="Times New Roman" w:hAnsi="Arial"/>
          <w:b/>
          <w:sz w:val="20"/>
          <w:szCs w:val="20"/>
        </w:rPr>
      </w:pPr>
    </w:p>
    <w:p w14:paraId="08B45629" w14:textId="77777777" w:rsidR="004A27EE" w:rsidRPr="008F63F5" w:rsidRDefault="004A27EE" w:rsidP="004A27EE">
      <w:pPr>
        <w:spacing w:after="0" w:line="240" w:lineRule="auto"/>
        <w:jc w:val="center"/>
        <w:rPr>
          <w:rFonts w:ascii="Arial" w:eastAsia="Times New Roman" w:hAnsi="Arial"/>
          <w:b/>
          <w:sz w:val="30"/>
          <w:szCs w:val="20"/>
          <w:u w:val="single"/>
        </w:rPr>
      </w:pPr>
      <w:r w:rsidRPr="008F63F5">
        <w:rPr>
          <w:rFonts w:ascii="Arial" w:eastAsia="Times New Roman" w:hAnsi="Arial"/>
          <w:b/>
          <w:sz w:val="30"/>
          <w:szCs w:val="20"/>
          <w:u w:val="single"/>
        </w:rPr>
        <w:t>HOUSING REVENUE ACCOUNT</w:t>
      </w:r>
    </w:p>
    <w:p w14:paraId="095A1FF7" w14:textId="77777777" w:rsidR="004A27EE" w:rsidRPr="008F63F5" w:rsidRDefault="004A27EE" w:rsidP="004A27EE">
      <w:pPr>
        <w:spacing w:after="0" w:line="240" w:lineRule="auto"/>
        <w:jc w:val="center"/>
        <w:rPr>
          <w:rFonts w:ascii="Arial" w:eastAsia="Times New Roman" w:hAnsi="Arial"/>
          <w:sz w:val="20"/>
          <w:szCs w:val="20"/>
          <w:u w:val="single"/>
        </w:rPr>
      </w:pPr>
    </w:p>
    <w:p w14:paraId="6188FBA1" w14:textId="77777777" w:rsidR="004A27EE" w:rsidRPr="008F63F5" w:rsidRDefault="004A27EE" w:rsidP="004A27EE">
      <w:pPr>
        <w:spacing w:after="0" w:line="240" w:lineRule="auto"/>
        <w:jc w:val="center"/>
        <w:rPr>
          <w:rFonts w:ascii="Arial" w:eastAsia="Times New Roman" w:hAnsi="Arial"/>
          <w:b/>
          <w:sz w:val="20"/>
          <w:szCs w:val="20"/>
          <w:u w:val="single"/>
        </w:rPr>
      </w:pPr>
      <w:r w:rsidRPr="008F63F5">
        <w:rPr>
          <w:rFonts w:ascii="Arial" w:eastAsia="Times New Roman" w:hAnsi="Arial"/>
          <w:b/>
          <w:sz w:val="20"/>
          <w:szCs w:val="20"/>
          <w:u w:val="single"/>
        </w:rPr>
        <w:t>PROVISIONAL REVENUE BUDGET 20</w:t>
      </w:r>
      <w:r w:rsidR="00DE4A71">
        <w:rPr>
          <w:rFonts w:ascii="Arial" w:eastAsia="Times New Roman" w:hAnsi="Arial"/>
          <w:b/>
          <w:sz w:val="20"/>
          <w:szCs w:val="20"/>
          <w:u w:val="single"/>
        </w:rPr>
        <w:t>2</w:t>
      </w:r>
      <w:r w:rsidR="009B3937">
        <w:rPr>
          <w:rFonts w:ascii="Arial" w:eastAsia="Times New Roman" w:hAnsi="Arial"/>
          <w:b/>
          <w:sz w:val="20"/>
          <w:szCs w:val="20"/>
          <w:u w:val="single"/>
        </w:rPr>
        <w:t>2</w:t>
      </w:r>
      <w:r w:rsidR="007F0B76" w:rsidRPr="008F63F5">
        <w:rPr>
          <w:rFonts w:ascii="Arial" w:eastAsia="Times New Roman" w:hAnsi="Arial"/>
          <w:b/>
          <w:sz w:val="20"/>
          <w:szCs w:val="20"/>
          <w:u w:val="single"/>
        </w:rPr>
        <w:t>-</w:t>
      </w:r>
      <w:r w:rsidRPr="008F63F5">
        <w:rPr>
          <w:rFonts w:ascii="Arial" w:eastAsia="Times New Roman" w:hAnsi="Arial"/>
          <w:b/>
          <w:sz w:val="20"/>
          <w:szCs w:val="20"/>
          <w:u w:val="single"/>
        </w:rPr>
        <w:t>20</w:t>
      </w:r>
      <w:r w:rsidR="004A52D7" w:rsidRPr="008F63F5">
        <w:rPr>
          <w:rFonts w:ascii="Arial" w:eastAsia="Times New Roman" w:hAnsi="Arial"/>
          <w:b/>
          <w:sz w:val="20"/>
          <w:szCs w:val="20"/>
          <w:u w:val="single"/>
        </w:rPr>
        <w:t>2</w:t>
      </w:r>
      <w:r w:rsidR="009B3937">
        <w:rPr>
          <w:rFonts w:ascii="Arial" w:eastAsia="Times New Roman" w:hAnsi="Arial"/>
          <w:b/>
          <w:sz w:val="20"/>
          <w:szCs w:val="20"/>
          <w:u w:val="single"/>
        </w:rPr>
        <w:t>5</w:t>
      </w:r>
    </w:p>
    <w:p w14:paraId="5F2A3278" w14:textId="77777777" w:rsidR="004A27EE" w:rsidRPr="008F63F5" w:rsidRDefault="004A27EE" w:rsidP="004A27EE">
      <w:pPr>
        <w:spacing w:after="0" w:line="240" w:lineRule="auto"/>
        <w:rPr>
          <w:rFonts w:ascii="Arial" w:eastAsia="Times New Roman" w:hAnsi="Arial"/>
          <w:szCs w:val="20"/>
        </w:rPr>
      </w:pPr>
    </w:p>
    <w:tbl>
      <w:tblPr>
        <w:tblW w:w="9781" w:type="dxa"/>
        <w:tblInd w:w="-10" w:type="dxa"/>
        <w:tblLayout w:type="fixed"/>
        <w:tblCellMar>
          <w:left w:w="80" w:type="dxa"/>
          <w:right w:w="80" w:type="dxa"/>
        </w:tblCellMar>
        <w:tblLook w:val="0000" w:firstRow="0" w:lastRow="0" w:firstColumn="0" w:lastColumn="0" w:noHBand="0" w:noVBand="0"/>
      </w:tblPr>
      <w:tblGrid>
        <w:gridCol w:w="4768"/>
        <w:gridCol w:w="1134"/>
        <w:gridCol w:w="1276"/>
        <w:gridCol w:w="1276"/>
        <w:gridCol w:w="1327"/>
      </w:tblGrid>
      <w:tr w:rsidR="008F63F5" w:rsidRPr="00E0016F" w14:paraId="386F9FBA" w14:textId="77777777" w:rsidTr="004A52D7">
        <w:trPr>
          <w:cantSplit/>
        </w:trPr>
        <w:tc>
          <w:tcPr>
            <w:tcW w:w="4768" w:type="dxa"/>
          </w:tcPr>
          <w:p w14:paraId="70DEFD68" w14:textId="77777777" w:rsidR="004A27EE" w:rsidRPr="008F63F5" w:rsidRDefault="004A27EE" w:rsidP="004A27EE">
            <w:pPr>
              <w:spacing w:after="0" w:line="240" w:lineRule="auto"/>
              <w:rPr>
                <w:rFonts w:ascii="Arial" w:eastAsia="Times New Roman" w:hAnsi="Arial"/>
                <w:b/>
                <w:sz w:val="20"/>
                <w:szCs w:val="20"/>
                <w:u w:val="single"/>
              </w:rPr>
            </w:pPr>
          </w:p>
        </w:tc>
        <w:tc>
          <w:tcPr>
            <w:tcW w:w="1134" w:type="dxa"/>
          </w:tcPr>
          <w:p w14:paraId="35AC7A7D" w14:textId="77777777" w:rsidR="004A52D7" w:rsidRPr="00E0016F" w:rsidRDefault="004A52D7" w:rsidP="004A52D7">
            <w:pPr>
              <w:spacing w:after="0" w:line="240" w:lineRule="auto"/>
              <w:jc w:val="right"/>
              <w:rPr>
                <w:rFonts w:ascii="Arial" w:eastAsia="Times New Roman" w:hAnsi="Arial"/>
                <w:b/>
                <w:sz w:val="20"/>
                <w:szCs w:val="20"/>
              </w:rPr>
            </w:pPr>
            <w:r w:rsidRPr="00E0016F">
              <w:rPr>
                <w:rFonts w:ascii="Arial" w:eastAsia="Times New Roman" w:hAnsi="Arial"/>
                <w:b/>
                <w:sz w:val="20"/>
                <w:szCs w:val="20"/>
              </w:rPr>
              <w:t>Final</w:t>
            </w:r>
          </w:p>
          <w:p w14:paraId="34E3E30E" w14:textId="77777777" w:rsidR="004A52D7" w:rsidRPr="00E0016F" w:rsidRDefault="004A52D7" w:rsidP="004A52D7">
            <w:pPr>
              <w:spacing w:after="0" w:line="240" w:lineRule="auto"/>
              <w:jc w:val="right"/>
              <w:rPr>
                <w:rFonts w:ascii="Arial" w:eastAsia="Times New Roman" w:hAnsi="Arial"/>
                <w:b/>
                <w:sz w:val="20"/>
                <w:szCs w:val="20"/>
              </w:rPr>
            </w:pPr>
            <w:r w:rsidRPr="00E0016F">
              <w:rPr>
                <w:rFonts w:ascii="Arial" w:eastAsia="Times New Roman" w:hAnsi="Arial"/>
                <w:b/>
                <w:sz w:val="20"/>
                <w:szCs w:val="20"/>
              </w:rPr>
              <w:t>Revenue</w:t>
            </w:r>
          </w:p>
          <w:p w14:paraId="258A5B2B" w14:textId="77777777" w:rsidR="004A27EE" w:rsidRPr="00E0016F" w:rsidRDefault="004A52D7" w:rsidP="004A52D7">
            <w:pPr>
              <w:spacing w:after="0" w:line="240" w:lineRule="auto"/>
              <w:jc w:val="right"/>
              <w:rPr>
                <w:rFonts w:ascii="Arial" w:eastAsia="Times New Roman" w:hAnsi="Arial"/>
                <w:b/>
                <w:sz w:val="20"/>
                <w:szCs w:val="20"/>
              </w:rPr>
            </w:pPr>
            <w:r w:rsidRPr="00E0016F">
              <w:rPr>
                <w:rFonts w:ascii="Arial" w:eastAsia="Times New Roman" w:hAnsi="Arial"/>
                <w:b/>
                <w:sz w:val="20"/>
                <w:szCs w:val="20"/>
              </w:rPr>
              <w:t>Budget</w:t>
            </w:r>
          </w:p>
        </w:tc>
        <w:tc>
          <w:tcPr>
            <w:tcW w:w="1276" w:type="dxa"/>
          </w:tcPr>
          <w:p w14:paraId="47D8343F" w14:textId="77777777" w:rsidR="004A52D7" w:rsidRPr="004C3D88" w:rsidRDefault="004A52D7" w:rsidP="004A52D7">
            <w:pPr>
              <w:spacing w:after="0" w:line="240" w:lineRule="auto"/>
              <w:jc w:val="right"/>
              <w:rPr>
                <w:rFonts w:ascii="Arial" w:eastAsia="Times New Roman" w:hAnsi="Arial"/>
                <w:b/>
                <w:color w:val="000000" w:themeColor="text1"/>
                <w:sz w:val="20"/>
                <w:szCs w:val="20"/>
              </w:rPr>
            </w:pPr>
            <w:r w:rsidRPr="004C3D88">
              <w:rPr>
                <w:rFonts w:ascii="Arial" w:eastAsia="Times New Roman" w:hAnsi="Arial"/>
                <w:b/>
                <w:color w:val="000000" w:themeColor="text1"/>
                <w:sz w:val="20"/>
                <w:szCs w:val="20"/>
              </w:rPr>
              <w:t>Provisional</w:t>
            </w:r>
          </w:p>
          <w:p w14:paraId="4C59347F" w14:textId="77777777" w:rsidR="004A52D7" w:rsidRPr="004C3D88" w:rsidRDefault="004A52D7" w:rsidP="004A52D7">
            <w:pPr>
              <w:spacing w:after="0" w:line="240" w:lineRule="auto"/>
              <w:jc w:val="right"/>
              <w:rPr>
                <w:rFonts w:ascii="Arial" w:eastAsia="Times New Roman" w:hAnsi="Arial"/>
                <w:b/>
                <w:color w:val="000000" w:themeColor="text1"/>
                <w:sz w:val="20"/>
                <w:szCs w:val="20"/>
              </w:rPr>
            </w:pPr>
            <w:r w:rsidRPr="004C3D88">
              <w:rPr>
                <w:rFonts w:ascii="Arial" w:eastAsia="Times New Roman" w:hAnsi="Arial"/>
                <w:b/>
                <w:color w:val="000000" w:themeColor="text1"/>
                <w:sz w:val="20"/>
                <w:szCs w:val="20"/>
              </w:rPr>
              <w:t>Revenue</w:t>
            </w:r>
          </w:p>
          <w:p w14:paraId="153FBD49" w14:textId="77777777" w:rsidR="004A27EE" w:rsidRPr="004C3D88" w:rsidRDefault="004A52D7" w:rsidP="004A52D7">
            <w:pPr>
              <w:spacing w:after="0" w:line="240" w:lineRule="auto"/>
              <w:jc w:val="right"/>
              <w:rPr>
                <w:rFonts w:ascii="Arial" w:eastAsia="Times New Roman" w:hAnsi="Arial"/>
                <w:b/>
                <w:color w:val="000000" w:themeColor="text1"/>
                <w:sz w:val="20"/>
                <w:szCs w:val="20"/>
              </w:rPr>
            </w:pPr>
            <w:r w:rsidRPr="004C3D88">
              <w:rPr>
                <w:rFonts w:ascii="Arial" w:eastAsia="Times New Roman" w:hAnsi="Arial"/>
                <w:b/>
                <w:color w:val="000000" w:themeColor="text1"/>
                <w:sz w:val="20"/>
                <w:szCs w:val="20"/>
              </w:rPr>
              <w:t>Budget</w:t>
            </w:r>
          </w:p>
        </w:tc>
        <w:tc>
          <w:tcPr>
            <w:tcW w:w="1276" w:type="dxa"/>
          </w:tcPr>
          <w:p w14:paraId="494D687E" w14:textId="77777777" w:rsidR="004A52D7" w:rsidRPr="00E0016F" w:rsidRDefault="004A52D7" w:rsidP="004A52D7">
            <w:pPr>
              <w:spacing w:after="0" w:line="240" w:lineRule="auto"/>
              <w:jc w:val="right"/>
              <w:rPr>
                <w:rFonts w:ascii="Arial" w:eastAsia="Times New Roman" w:hAnsi="Arial"/>
                <w:b/>
                <w:sz w:val="20"/>
                <w:szCs w:val="20"/>
              </w:rPr>
            </w:pPr>
            <w:r w:rsidRPr="00E0016F">
              <w:rPr>
                <w:rFonts w:ascii="Arial" w:eastAsia="Times New Roman" w:hAnsi="Arial"/>
                <w:b/>
                <w:sz w:val="20"/>
                <w:szCs w:val="20"/>
              </w:rPr>
              <w:t>Provisional</w:t>
            </w:r>
          </w:p>
          <w:p w14:paraId="39AE94D9" w14:textId="77777777" w:rsidR="004A52D7" w:rsidRPr="00E0016F" w:rsidRDefault="004A52D7" w:rsidP="004A52D7">
            <w:pPr>
              <w:spacing w:after="0" w:line="240" w:lineRule="auto"/>
              <w:jc w:val="right"/>
              <w:rPr>
                <w:rFonts w:ascii="Arial" w:eastAsia="Times New Roman" w:hAnsi="Arial"/>
                <w:b/>
                <w:sz w:val="20"/>
                <w:szCs w:val="20"/>
              </w:rPr>
            </w:pPr>
            <w:r w:rsidRPr="00E0016F">
              <w:rPr>
                <w:rFonts w:ascii="Arial" w:eastAsia="Times New Roman" w:hAnsi="Arial"/>
                <w:b/>
                <w:sz w:val="20"/>
                <w:szCs w:val="20"/>
              </w:rPr>
              <w:t>Revenue</w:t>
            </w:r>
          </w:p>
          <w:p w14:paraId="799111F5" w14:textId="77777777" w:rsidR="004A27EE" w:rsidRPr="00E0016F" w:rsidRDefault="004A52D7" w:rsidP="004A52D7">
            <w:pPr>
              <w:spacing w:after="0" w:line="240" w:lineRule="auto"/>
              <w:jc w:val="right"/>
              <w:rPr>
                <w:rFonts w:ascii="Arial" w:eastAsia="Times New Roman" w:hAnsi="Arial"/>
                <w:b/>
                <w:sz w:val="20"/>
                <w:szCs w:val="20"/>
              </w:rPr>
            </w:pPr>
            <w:r w:rsidRPr="00E0016F">
              <w:rPr>
                <w:rFonts w:ascii="Arial" w:eastAsia="Times New Roman" w:hAnsi="Arial"/>
                <w:b/>
                <w:sz w:val="20"/>
                <w:szCs w:val="20"/>
              </w:rPr>
              <w:t>Budget</w:t>
            </w:r>
          </w:p>
        </w:tc>
        <w:tc>
          <w:tcPr>
            <w:tcW w:w="1327" w:type="dxa"/>
          </w:tcPr>
          <w:p w14:paraId="4D6AEEFF" w14:textId="77777777" w:rsidR="004A27EE" w:rsidRPr="00E0016F" w:rsidRDefault="004A27EE" w:rsidP="004A52D7">
            <w:pPr>
              <w:spacing w:after="0" w:line="240" w:lineRule="auto"/>
              <w:jc w:val="right"/>
              <w:rPr>
                <w:rFonts w:ascii="Arial" w:eastAsia="Times New Roman" w:hAnsi="Arial"/>
                <w:b/>
                <w:sz w:val="20"/>
                <w:szCs w:val="20"/>
              </w:rPr>
            </w:pPr>
            <w:r w:rsidRPr="00E0016F">
              <w:rPr>
                <w:rFonts w:ascii="Arial" w:eastAsia="Times New Roman" w:hAnsi="Arial"/>
                <w:b/>
                <w:sz w:val="20"/>
                <w:szCs w:val="20"/>
              </w:rPr>
              <w:t>Provisional</w:t>
            </w:r>
          </w:p>
          <w:p w14:paraId="1A5F8461" w14:textId="77777777" w:rsidR="004A27EE" w:rsidRPr="00E0016F" w:rsidRDefault="004A27EE" w:rsidP="004A52D7">
            <w:pPr>
              <w:spacing w:after="0" w:line="240" w:lineRule="auto"/>
              <w:jc w:val="right"/>
              <w:rPr>
                <w:rFonts w:ascii="Arial" w:eastAsia="Times New Roman" w:hAnsi="Arial"/>
                <w:b/>
                <w:sz w:val="20"/>
                <w:szCs w:val="20"/>
              </w:rPr>
            </w:pPr>
            <w:r w:rsidRPr="00E0016F">
              <w:rPr>
                <w:rFonts w:ascii="Arial" w:eastAsia="Times New Roman" w:hAnsi="Arial"/>
                <w:b/>
                <w:sz w:val="20"/>
                <w:szCs w:val="20"/>
              </w:rPr>
              <w:t>Revenue</w:t>
            </w:r>
          </w:p>
          <w:p w14:paraId="5D664B9D" w14:textId="77777777" w:rsidR="004A27EE" w:rsidRPr="00E0016F" w:rsidRDefault="004A27EE" w:rsidP="004A52D7">
            <w:pPr>
              <w:spacing w:after="0" w:line="240" w:lineRule="auto"/>
              <w:jc w:val="right"/>
              <w:rPr>
                <w:rFonts w:ascii="Arial" w:eastAsia="Times New Roman" w:hAnsi="Arial"/>
                <w:b/>
                <w:sz w:val="20"/>
                <w:szCs w:val="20"/>
              </w:rPr>
            </w:pPr>
            <w:r w:rsidRPr="00E0016F">
              <w:rPr>
                <w:rFonts w:ascii="Arial" w:eastAsia="Times New Roman" w:hAnsi="Arial"/>
                <w:b/>
                <w:sz w:val="20"/>
                <w:szCs w:val="20"/>
              </w:rPr>
              <w:t>Budget</w:t>
            </w:r>
          </w:p>
        </w:tc>
      </w:tr>
      <w:tr w:rsidR="008F63F5" w:rsidRPr="00E0016F" w14:paraId="12539F7C" w14:textId="77777777" w:rsidTr="004A52D7">
        <w:trPr>
          <w:cantSplit/>
        </w:trPr>
        <w:tc>
          <w:tcPr>
            <w:tcW w:w="4768" w:type="dxa"/>
          </w:tcPr>
          <w:p w14:paraId="2D4F664F" w14:textId="77777777" w:rsidR="00A37254" w:rsidRPr="008F63F5" w:rsidRDefault="00A37254" w:rsidP="00A37254">
            <w:pPr>
              <w:spacing w:after="0" w:line="240" w:lineRule="auto"/>
              <w:rPr>
                <w:rFonts w:ascii="Arial" w:eastAsia="Times New Roman" w:hAnsi="Arial"/>
                <w:b/>
                <w:sz w:val="20"/>
                <w:szCs w:val="20"/>
                <w:u w:val="single"/>
              </w:rPr>
            </w:pPr>
          </w:p>
        </w:tc>
        <w:tc>
          <w:tcPr>
            <w:tcW w:w="1134" w:type="dxa"/>
          </w:tcPr>
          <w:p w14:paraId="5A149FF7" w14:textId="77777777" w:rsidR="00A37254" w:rsidRPr="00E0016F" w:rsidRDefault="00A37254" w:rsidP="00A37254">
            <w:pPr>
              <w:spacing w:after="0" w:line="240" w:lineRule="auto"/>
              <w:jc w:val="right"/>
              <w:rPr>
                <w:rFonts w:ascii="Arial" w:eastAsia="Times New Roman" w:hAnsi="Arial"/>
                <w:b/>
                <w:sz w:val="20"/>
                <w:szCs w:val="20"/>
              </w:rPr>
            </w:pPr>
            <w:r w:rsidRPr="00E0016F">
              <w:rPr>
                <w:rFonts w:ascii="Arial" w:eastAsia="Times New Roman" w:hAnsi="Arial"/>
                <w:b/>
                <w:sz w:val="20"/>
                <w:szCs w:val="20"/>
              </w:rPr>
              <w:t>20</w:t>
            </w:r>
            <w:r w:rsidR="00E0016F" w:rsidRPr="00E0016F">
              <w:rPr>
                <w:rFonts w:ascii="Arial" w:eastAsia="Times New Roman" w:hAnsi="Arial"/>
                <w:b/>
                <w:sz w:val="20"/>
                <w:szCs w:val="20"/>
              </w:rPr>
              <w:t>2</w:t>
            </w:r>
            <w:r w:rsidR="009B3937">
              <w:rPr>
                <w:rFonts w:ascii="Arial" w:eastAsia="Times New Roman" w:hAnsi="Arial"/>
                <w:b/>
                <w:sz w:val="20"/>
                <w:szCs w:val="20"/>
              </w:rPr>
              <w:t>1</w:t>
            </w:r>
            <w:r w:rsidRPr="00E0016F">
              <w:rPr>
                <w:rFonts w:ascii="Arial" w:eastAsia="Times New Roman" w:hAnsi="Arial"/>
                <w:b/>
                <w:sz w:val="20"/>
                <w:szCs w:val="20"/>
              </w:rPr>
              <w:t>/20</w:t>
            </w:r>
            <w:r w:rsidR="00DE4A71" w:rsidRPr="00E0016F">
              <w:rPr>
                <w:rFonts w:ascii="Arial" w:eastAsia="Times New Roman" w:hAnsi="Arial"/>
                <w:b/>
                <w:sz w:val="20"/>
                <w:szCs w:val="20"/>
              </w:rPr>
              <w:t>2</w:t>
            </w:r>
            <w:r w:rsidR="009B3937">
              <w:rPr>
                <w:rFonts w:ascii="Arial" w:eastAsia="Times New Roman" w:hAnsi="Arial"/>
                <w:b/>
                <w:sz w:val="20"/>
                <w:szCs w:val="20"/>
              </w:rPr>
              <w:t>2</w:t>
            </w:r>
          </w:p>
          <w:p w14:paraId="6449BA91" w14:textId="77777777" w:rsidR="00A37254" w:rsidRPr="00E0016F" w:rsidRDefault="00A37254" w:rsidP="00A37254">
            <w:pPr>
              <w:spacing w:after="0" w:line="240" w:lineRule="auto"/>
              <w:jc w:val="right"/>
              <w:rPr>
                <w:rFonts w:ascii="Arial" w:eastAsia="Times New Roman" w:hAnsi="Arial"/>
                <w:b/>
                <w:sz w:val="20"/>
                <w:szCs w:val="20"/>
              </w:rPr>
            </w:pPr>
            <w:r w:rsidRPr="00E0016F">
              <w:rPr>
                <w:rFonts w:ascii="Arial" w:eastAsia="Times New Roman" w:hAnsi="Arial"/>
                <w:b/>
                <w:sz w:val="20"/>
                <w:szCs w:val="20"/>
              </w:rPr>
              <w:t>£000</w:t>
            </w:r>
          </w:p>
        </w:tc>
        <w:tc>
          <w:tcPr>
            <w:tcW w:w="1276" w:type="dxa"/>
          </w:tcPr>
          <w:p w14:paraId="7B8745D5" w14:textId="77777777" w:rsidR="00A37254" w:rsidRPr="004C3D88" w:rsidRDefault="00A37254" w:rsidP="00A37254">
            <w:pPr>
              <w:spacing w:after="0" w:line="240" w:lineRule="auto"/>
              <w:jc w:val="right"/>
              <w:rPr>
                <w:rFonts w:ascii="Arial" w:eastAsia="Times New Roman" w:hAnsi="Arial"/>
                <w:b/>
                <w:color w:val="000000" w:themeColor="text1"/>
                <w:sz w:val="20"/>
                <w:szCs w:val="20"/>
              </w:rPr>
            </w:pPr>
            <w:r w:rsidRPr="004C3D88">
              <w:rPr>
                <w:rFonts w:ascii="Arial" w:eastAsia="Times New Roman" w:hAnsi="Arial"/>
                <w:b/>
                <w:color w:val="000000" w:themeColor="text1"/>
                <w:sz w:val="20"/>
                <w:szCs w:val="20"/>
              </w:rPr>
              <w:t>20</w:t>
            </w:r>
            <w:r w:rsidR="00DE4A71" w:rsidRPr="004C3D88">
              <w:rPr>
                <w:rFonts w:ascii="Arial" w:eastAsia="Times New Roman" w:hAnsi="Arial"/>
                <w:b/>
                <w:color w:val="000000" w:themeColor="text1"/>
                <w:sz w:val="20"/>
                <w:szCs w:val="20"/>
              </w:rPr>
              <w:t>2</w:t>
            </w:r>
            <w:r w:rsidR="009B3937">
              <w:rPr>
                <w:rFonts w:ascii="Arial" w:eastAsia="Times New Roman" w:hAnsi="Arial"/>
                <w:b/>
                <w:color w:val="000000" w:themeColor="text1"/>
                <w:sz w:val="20"/>
                <w:szCs w:val="20"/>
              </w:rPr>
              <w:t>2</w:t>
            </w:r>
            <w:r w:rsidRPr="004C3D88">
              <w:rPr>
                <w:rFonts w:ascii="Arial" w:eastAsia="Times New Roman" w:hAnsi="Arial"/>
                <w:b/>
                <w:color w:val="000000" w:themeColor="text1"/>
                <w:sz w:val="20"/>
                <w:szCs w:val="20"/>
              </w:rPr>
              <w:t>/202</w:t>
            </w:r>
            <w:r w:rsidR="009B3937">
              <w:rPr>
                <w:rFonts w:ascii="Arial" w:eastAsia="Times New Roman" w:hAnsi="Arial"/>
                <w:b/>
                <w:color w:val="000000" w:themeColor="text1"/>
                <w:sz w:val="20"/>
                <w:szCs w:val="20"/>
              </w:rPr>
              <w:t>3</w:t>
            </w:r>
          </w:p>
          <w:p w14:paraId="0F8EF192" w14:textId="77777777" w:rsidR="00A37254" w:rsidRPr="004C3D88" w:rsidRDefault="00A37254" w:rsidP="00A37254">
            <w:pPr>
              <w:spacing w:after="0" w:line="240" w:lineRule="auto"/>
              <w:jc w:val="right"/>
              <w:rPr>
                <w:rFonts w:ascii="Arial" w:eastAsia="Times New Roman" w:hAnsi="Arial"/>
                <w:b/>
                <w:color w:val="000000" w:themeColor="text1"/>
                <w:sz w:val="20"/>
                <w:szCs w:val="20"/>
              </w:rPr>
            </w:pPr>
            <w:r w:rsidRPr="004C3D88">
              <w:rPr>
                <w:rFonts w:ascii="Arial" w:eastAsia="Times New Roman" w:hAnsi="Arial"/>
                <w:b/>
                <w:color w:val="000000" w:themeColor="text1"/>
                <w:sz w:val="20"/>
                <w:szCs w:val="20"/>
              </w:rPr>
              <w:t>£000</w:t>
            </w:r>
          </w:p>
        </w:tc>
        <w:tc>
          <w:tcPr>
            <w:tcW w:w="1276" w:type="dxa"/>
          </w:tcPr>
          <w:p w14:paraId="79D624CF" w14:textId="77777777" w:rsidR="00A37254" w:rsidRPr="00E0016F" w:rsidRDefault="00DE4A71" w:rsidP="00A37254">
            <w:pPr>
              <w:spacing w:after="0" w:line="240" w:lineRule="auto"/>
              <w:jc w:val="right"/>
              <w:rPr>
                <w:rFonts w:ascii="Arial" w:eastAsia="Times New Roman" w:hAnsi="Arial"/>
                <w:b/>
                <w:sz w:val="20"/>
                <w:szCs w:val="20"/>
              </w:rPr>
            </w:pPr>
            <w:r w:rsidRPr="00E0016F">
              <w:rPr>
                <w:rFonts w:ascii="Arial" w:eastAsia="Times New Roman" w:hAnsi="Arial"/>
                <w:b/>
                <w:sz w:val="20"/>
                <w:szCs w:val="20"/>
              </w:rPr>
              <w:t>202</w:t>
            </w:r>
            <w:r w:rsidR="009B3937">
              <w:rPr>
                <w:rFonts w:ascii="Arial" w:eastAsia="Times New Roman" w:hAnsi="Arial"/>
                <w:b/>
                <w:sz w:val="20"/>
                <w:szCs w:val="20"/>
              </w:rPr>
              <w:t>3</w:t>
            </w:r>
            <w:r w:rsidRPr="00E0016F">
              <w:rPr>
                <w:rFonts w:ascii="Arial" w:eastAsia="Times New Roman" w:hAnsi="Arial"/>
                <w:b/>
                <w:sz w:val="20"/>
                <w:szCs w:val="20"/>
              </w:rPr>
              <w:t>/202</w:t>
            </w:r>
            <w:r w:rsidR="009B3937">
              <w:rPr>
                <w:rFonts w:ascii="Arial" w:eastAsia="Times New Roman" w:hAnsi="Arial"/>
                <w:b/>
                <w:sz w:val="20"/>
                <w:szCs w:val="20"/>
              </w:rPr>
              <w:t>4</w:t>
            </w:r>
          </w:p>
          <w:p w14:paraId="274F10F0" w14:textId="77777777" w:rsidR="00A37254" w:rsidRPr="00E0016F" w:rsidRDefault="00A37254" w:rsidP="00A37254">
            <w:pPr>
              <w:spacing w:after="0" w:line="240" w:lineRule="auto"/>
              <w:jc w:val="right"/>
              <w:rPr>
                <w:rFonts w:ascii="Arial" w:eastAsia="Times New Roman" w:hAnsi="Arial"/>
                <w:b/>
                <w:sz w:val="20"/>
                <w:szCs w:val="20"/>
              </w:rPr>
            </w:pPr>
            <w:r w:rsidRPr="00E0016F">
              <w:rPr>
                <w:rFonts w:ascii="Arial" w:eastAsia="Times New Roman" w:hAnsi="Arial"/>
                <w:b/>
                <w:sz w:val="20"/>
                <w:szCs w:val="20"/>
              </w:rPr>
              <w:t>£000</w:t>
            </w:r>
          </w:p>
        </w:tc>
        <w:tc>
          <w:tcPr>
            <w:tcW w:w="1327" w:type="dxa"/>
          </w:tcPr>
          <w:p w14:paraId="1F4984DB" w14:textId="77777777" w:rsidR="00A37254" w:rsidRPr="00E0016F" w:rsidRDefault="00A37254" w:rsidP="00A37254">
            <w:pPr>
              <w:spacing w:after="0" w:line="240" w:lineRule="auto"/>
              <w:jc w:val="right"/>
              <w:rPr>
                <w:rFonts w:ascii="Arial" w:eastAsia="Times New Roman" w:hAnsi="Arial"/>
                <w:b/>
                <w:sz w:val="20"/>
                <w:szCs w:val="20"/>
              </w:rPr>
            </w:pPr>
            <w:r w:rsidRPr="00E0016F">
              <w:rPr>
                <w:rFonts w:ascii="Arial" w:eastAsia="Times New Roman" w:hAnsi="Arial"/>
                <w:b/>
                <w:sz w:val="20"/>
                <w:szCs w:val="20"/>
              </w:rPr>
              <w:t>202</w:t>
            </w:r>
            <w:r w:rsidR="009B3937">
              <w:rPr>
                <w:rFonts w:ascii="Arial" w:eastAsia="Times New Roman" w:hAnsi="Arial"/>
                <w:b/>
                <w:sz w:val="20"/>
                <w:szCs w:val="20"/>
              </w:rPr>
              <w:t>4</w:t>
            </w:r>
            <w:r w:rsidRPr="00E0016F">
              <w:rPr>
                <w:rFonts w:ascii="Arial" w:eastAsia="Times New Roman" w:hAnsi="Arial"/>
                <w:b/>
                <w:sz w:val="20"/>
                <w:szCs w:val="20"/>
              </w:rPr>
              <w:t>/202</w:t>
            </w:r>
            <w:r w:rsidR="009B3937">
              <w:rPr>
                <w:rFonts w:ascii="Arial" w:eastAsia="Times New Roman" w:hAnsi="Arial"/>
                <w:b/>
                <w:sz w:val="20"/>
                <w:szCs w:val="20"/>
              </w:rPr>
              <w:t>5</w:t>
            </w:r>
          </w:p>
          <w:p w14:paraId="627A8BD7" w14:textId="77777777" w:rsidR="00A37254" w:rsidRPr="00E0016F" w:rsidRDefault="00A37254" w:rsidP="00A37254">
            <w:pPr>
              <w:spacing w:after="0" w:line="240" w:lineRule="auto"/>
              <w:jc w:val="right"/>
              <w:rPr>
                <w:rFonts w:ascii="Arial" w:eastAsia="Times New Roman" w:hAnsi="Arial"/>
                <w:b/>
                <w:sz w:val="20"/>
                <w:szCs w:val="20"/>
              </w:rPr>
            </w:pPr>
            <w:r w:rsidRPr="00E0016F">
              <w:rPr>
                <w:rFonts w:ascii="Arial" w:eastAsia="Times New Roman" w:hAnsi="Arial"/>
                <w:b/>
                <w:sz w:val="20"/>
                <w:szCs w:val="20"/>
              </w:rPr>
              <w:t>£000</w:t>
            </w:r>
          </w:p>
        </w:tc>
      </w:tr>
      <w:tr w:rsidR="008F63F5" w:rsidRPr="00E0016F" w14:paraId="47346DD8" w14:textId="77777777" w:rsidTr="004A52D7">
        <w:trPr>
          <w:cantSplit/>
        </w:trPr>
        <w:tc>
          <w:tcPr>
            <w:tcW w:w="4768" w:type="dxa"/>
          </w:tcPr>
          <w:p w14:paraId="2D1A0C80" w14:textId="77777777" w:rsidR="004A27EE" w:rsidRPr="008F63F5" w:rsidRDefault="004A27EE" w:rsidP="004A27EE">
            <w:pPr>
              <w:spacing w:after="0" w:line="360" w:lineRule="auto"/>
              <w:rPr>
                <w:rFonts w:ascii="Arial" w:eastAsia="Times New Roman" w:hAnsi="Arial"/>
                <w:b/>
                <w:sz w:val="20"/>
                <w:szCs w:val="20"/>
                <w:u w:val="single"/>
              </w:rPr>
            </w:pPr>
            <w:r w:rsidRPr="008F63F5">
              <w:rPr>
                <w:rFonts w:ascii="Arial" w:eastAsia="Times New Roman" w:hAnsi="Arial"/>
                <w:b/>
                <w:sz w:val="20"/>
                <w:szCs w:val="20"/>
                <w:u w:val="single"/>
              </w:rPr>
              <w:t>EXPENDITURE</w:t>
            </w:r>
          </w:p>
        </w:tc>
        <w:tc>
          <w:tcPr>
            <w:tcW w:w="1134" w:type="dxa"/>
          </w:tcPr>
          <w:p w14:paraId="5B5E43AB" w14:textId="77777777" w:rsidR="004A27EE" w:rsidRPr="00E0016F" w:rsidRDefault="004A27EE" w:rsidP="004A27EE">
            <w:pPr>
              <w:tabs>
                <w:tab w:val="decimal" w:pos="910"/>
              </w:tabs>
              <w:spacing w:after="0" w:line="240" w:lineRule="auto"/>
              <w:rPr>
                <w:rFonts w:ascii="Arial" w:eastAsia="Times New Roman" w:hAnsi="Arial"/>
                <w:sz w:val="20"/>
                <w:szCs w:val="20"/>
              </w:rPr>
            </w:pPr>
          </w:p>
        </w:tc>
        <w:tc>
          <w:tcPr>
            <w:tcW w:w="1276" w:type="dxa"/>
          </w:tcPr>
          <w:p w14:paraId="4A56E7AA" w14:textId="77777777" w:rsidR="004A27EE" w:rsidRPr="004C3D88" w:rsidRDefault="004A27EE" w:rsidP="004A27EE">
            <w:pPr>
              <w:tabs>
                <w:tab w:val="decimal" w:pos="910"/>
              </w:tabs>
              <w:spacing w:after="0" w:line="240" w:lineRule="auto"/>
              <w:rPr>
                <w:rFonts w:ascii="Arial" w:eastAsia="Times New Roman" w:hAnsi="Arial"/>
                <w:color w:val="000000" w:themeColor="text1"/>
                <w:sz w:val="20"/>
                <w:szCs w:val="20"/>
              </w:rPr>
            </w:pPr>
          </w:p>
        </w:tc>
        <w:tc>
          <w:tcPr>
            <w:tcW w:w="1276" w:type="dxa"/>
          </w:tcPr>
          <w:p w14:paraId="030237DB" w14:textId="77777777" w:rsidR="004A27EE" w:rsidRPr="00E0016F" w:rsidRDefault="004A27EE" w:rsidP="004A27EE">
            <w:pPr>
              <w:tabs>
                <w:tab w:val="decimal" w:pos="910"/>
              </w:tabs>
              <w:spacing w:after="0" w:line="240" w:lineRule="auto"/>
              <w:rPr>
                <w:rFonts w:ascii="Arial" w:eastAsia="Times New Roman" w:hAnsi="Arial"/>
                <w:sz w:val="20"/>
                <w:szCs w:val="20"/>
              </w:rPr>
            </w:pPr>
          </w:p>
        </w:tc>
        <w:tc>
          <w:tcPr>
            <w:tcW w:w="1327" w:type="dxa"/>
          </w:tcPr>
          <w:p w14:paraId="072590E6" w14:textId="77777777" w:rsidR="004A27EE" w:rsidRPr="00E0016F" w:rsidRDefault="004A27EE" w:rsidP="004A27EE">
            <w:pPr>
              <w:tabs>
                <w:tab w:val="decimal" w:pos="910"/>
              </w:tabs>
              <w:spacing w:after="0" w:line="240" w:lineRule="auto"/>
              <w:rPr>
                <w:rFonts w:ascii="Arial" w:eastAsia="Times New Roman" w:hAnsi="Arial"/>
                <w:sz w:val="20"/>
                <w:szCs w:val="20"/>
              </w:rPr>
            </w:pPr>
          </w:p>
        </w:tc>
      </w:tr>
      <w:tr w:rsidR="008F63F5" w:rsidRPr="008F63F5" w14:paraId="77EC53CE" w14:textId="77777777" w:rsidTr="004A52D7">
        <w:trPr>
          <w:cantSplit/>
        </w:trPr>
        <w:tc>
          <w:tcPr>
            <w:tcW w:w="4768" w:type="dxa"/>
          </w:tcPr>
          <w:p w14:paraId="4166E155" w14:textId="77777777" w:rsidR="004A27EE" w:rsidRPr="008F63F5" w:rsidRDefault="004A27EE" w:rsidP="004A27EE">
            <w:pPr>
              <w:spacing w:after="0" w:line="240" w:lineRule="auto"/>
              <w:rPr>
                <w:rFonts w:ascii="Arial" w:eastAsia="Times New Roman" w:hAnsi="Arial"/>
                <w:b/>
                <w:caps/>
                <w:sz w:val="20"/>
                <w:szCs w:val="20"/>
              </w:rPr>
            </w:pPr>
            <w:r w:rsidRPr="008F63F5">
              <w:rPr>
                <w:rFonts w:ascii="Arial" w:eastAsia="Times New Roman" w:hAnsi="Arial"/>
                <w:b/>
                <w:caps/>
                <w:sz w:val="20"/>
                <w:szCs w:val="20"/>
              </w:rPr>
              <w:t>Staff Costs</w:t>
            </w:r>
          </w:p>
        </w:tc>
        <w:tc>
          <w:tcPr>
            <w:tcW w:w="1134" w:type="dxa"/>
          </w:tcPr>
          <w:p w14:paraId="22DF5DAF" w14:textId="77777777" w:rsidR="004A27EE" w:rsidRPr="00A35FB3" w:rsidRDefault="004A27EE" w:rsidP="004A27EE">
            <w:pPr>
              <w:tabs>
                <w:tab w:val="decimal" w:pos="910"/>
              </w:tabs>
              <w:spacing w:after="0" w:line="240" w:lineRule="auto"/>
              <w:rPr>
                <w:rFonts w:ascii="Arial" w:eastAsia="Times New Roman" w:hAnsi="Arial"/>
                <w:color w:val="FF0000"/>
                <w:sz w:val="20"/>
                <w:szCs w:val="20"/>
              </w:rPr>
            </w:pPr>
          </w:p>
        </w:tc>
        <w:tc>
          <w:tcPr>
            <w:tcW w:w="1276" w:type="dxa"/>
          </w:tcPr>
          <w:p w14:paraId="6E19DA50" w14:textId="77777777" w:rsidR="004A27EE" w:rsidRPr="004C3D88" w:rsidRDefault="004A27EE" w:rsidP="004A27EE">
            <w:pPr>
              <w:tabs>
                <w:tab w:val="decimal" w:pos="910"/>
              </w:tabs>
              <w:spacing w:after="0" w:line="240" w:lineRule="auto"/>
              <w:rPr>
                <w:rFonts w:ascii="Arial" w:eastAsia="Times New Roman" w:hAnsi="Arial"/>
                <w:color w:val="000000" w:themeColor="text1"/>
                <w:sz w:val="20"/>
                <w:szCs w:val="20"/>
              </w:rPr>
            </w:pPr>
          </w:p>
        </w:tc>
        <w:tc>
          <w:tcPr>
            <w:tcW w:w="1276" w:type="dxa"/>
          </w:tcPr>
          <w:p w14:paraId="70D923CC" w14:textId="77777777" w:rsidR="004A27EE" w:rsidRPr="00A35FB3" w:rsidRDefault="004A27EE" w:rsidP="004A27EE">
            <w:pPr>
              <w:tabs>
                <w:tab w:val="decimal" w:pos="910"/>
              </w:tabs>
              <w:spacing w:after="0" w:line="240" w:lineRule="auto"/>
              <w:rPr>
                <w:rFonts w:ascii="Arial" w:eastAsia="Times New Roman" w:hAnsi="Arial"/>
                <w:color w:val="FF0000"/>
                <w:sz w:val="20"/>
                <w:szCs w:val="20"/>
              </w:rPr>
            </w:pPr>
          </w:p>
        </w:tc>
        <w:tc>
          <w:tcPr>
            <w:tcW w:w="1327" w:type="dxa"/>
          </w:tcPr>
          <w:p w14:paraId="553F4950" w14:textId="77777777" w:rsidR="004A27EE" w:rsidRPr="00A35FB3" w:rsidRDefault="004A27EE" w:rsidP="004C3D88">
            <w:pPr>
              <w:tabs>
                <w:tab w:val="decimal" w:pos="910"/>
              </w:tabs>
              <w:spacing w:after="0" w:line="240" w:lineRule="auto"/>
              <w:rPr>
                <w:rFonts w:ascii="Arial" w:eastAsia="Times New Roman" w:hAnsi="Arial"/>
                <w:color w:val="FF0000"/>
                <w:sz w:val="20"/>
                <w:szCs w:val="20"/>
              </w:rPr>
            </w:pPr>
          </w:p>
        </w:tc>
      </w:tr>
      <w:tr w:rsidR="002403F3" w:rsidRPr="000D57BD" w14:paraId="60174FDC" w14:textId="77777777" w:rsidTr="004A52D7">
        <w:trPr>
          <w:cantSplit/>
        </w:trPr>
        <w:tc>
          <w:tcPr>
            <w:tcW w:w="4768" w:type="dxa"/>
          </w:tcPr>
          <w:p w14:paraId="40580C8F" w14:textId="278F68E8" w:rsidR="002403F3" w:rsidRPr="002403F3" w:rsidRDefault="002403F3" w:rsidP="002403F3">
            <w:pPr>
              <w:spacing w:after="0" w:line="240" w:lineRule="auto"/>
              <w:rPr>
                <w:rFonts w:ascii="Arial" w:eastAsia="Times New Roman" w:hAnsi="Arial"/>
                <w:sz w:val="20"/>
                <w:szCs w:val="20"/>
              </w:rPr>
            </w:pPr>
            <w:r w:rsidRPr="002403F3">
              <w:rPr>
                <w:rFonts w:ascii="Arial" w:eastAsia="Times New Roman" w:hAnsi="Arial"/>
                <w:sz w:val="20"/>
                <w:szCs w:val="20"/>
              </w:rPr>
              <w:t>Salaries and Wages (including NI and Supn):</w:t>
            </w:r>
          </w:p>
        </w:tc>
        <w:tc>
          <w:tcPr>
            <w:tcW w:w="1134" w:type="dxa"/>
          </w:tcPr>
          <w:p w14:paraId="0CE69435" w14:textId="104A31F1" w:rsidR="002403F3" w:rsidRPr="002403F3" w:rsidRDefault="002403F3" w:rsidP="002403F3">
            <w:pPr>
              <w:tabs>
                <w:tab w:val="decimal" w:pos="910"/>
              </w:tabs>
              <w:spacing w:after="0" w:line="240" w:lineRule="auto"/>
              <w:jc w:val="right"/>
              <w:rPr>
                <w:rFonts w:ascii="Arial" w:eastAsia="Times New Roman" w:hAnsi="Arial"/>
                <w:sz w:val="20"/>
                <w:szCs w:val="20"/>
              </w:rPr>
            </w:pPr>
            <w:r w:rsidRPr="002403F3">
              <w:rPr>
                <w:rFonts w:ascii="Arial" w:eastAsia="Times New Roman" w:hAnsi="Arial"/>
                <w:sz w:val="20"/>
                <w:szCs w:val="20"/>
              </w:rPr>
              <w:t>5,844</w:t>
            </w:r>
          </w:p>
        </w:tc>
        <w:tc>
          <w:tcPr>
            <w:tcW w:w="1276" w:type="dxa"/>
          </w:tcPr>
          <w:p w14:paraId="04D068F5" w14:textId="289348A2" w:rsidR="002403F3" w:rsidRPr="002403F3" w:rsidRDefault="002403F3" w:rsidP="002403F3">
            <w:pPr>
              <w:tabs>
                <w:tab w:val="decimal" w:pos="910"/>
              </w:tabs>
              <w:spacing w:after="0" w:line="240" w:lineRule="auto"/>
              <w:jc w:val="right"/>
              <w:rPr>
                <w:rFonts w:ascii="Arial" w:eastAsia="Times New Roman" w:hAnsi="Arial"/>
                <w:sz w:val="20"/>
                <w:szCs w:val="20"/>
              </w:rPr>
            </w:pPr>
            <w:r w:rsidRPr="002403F3">
              <w:rPr>
                <w:rFonts w:ascii="Arial" w:eastAsia="Times New Roman" w:hAnsi="Arial"/>
                <w:sz w:val="20"/>
                <w:szCs w:val="20"/>
              </w:rPr>
              <w:t>5,</w:t>
            </w:r>
            <w:r w:rsidR="003C3367">
              <w:rPr>
                <w:rFonts w:ascii="Arial" w:eastAsia="Times New Roman" w:hAnsi="Arial"/>
                <w:sz w:val="20"/>
                <w:szCs w:val="20"/>
              </w:rPr>
              <w:t>863</w:t>
            </w:r>
          </w:p>
        </w:tc>
        <w:tc>
          <w:tcPr>
            <w:tcW w:w="1276" w:type="dxa"/>
          </w:tcPr>
          <w:p w14:paraId="4A573F38" w14:textId="78F59091" w:rsidR="002403F3" w:rsidRPr="002403F3" w:rsidRDefault="003C3367" w:rsidP="002403F3">
            <w:pPr>
              <w:tabs>
                <w:tab w:val="decimal" w:pos="910"/>
              </w:tabs>
              <w:spacing w:after="0" w:line="240" w:lineRule="auto"/>
              <w:jc w:val="right"/>
              <w:rPr>
                <w:rFonts w:ascii="Arial" w:eastAsia="Times New Roman" w:hAnsi="Arial"/>
                <w:sz w:val="20"/>
                <w:szCs w:val="20"/>
              </w:rPr>
            </w:pPr>
            <w:r>
              <w:rPr>
                <w:rFonts w:ascii="Arial" w:eastAsia="Times New Roman" w:hAnsi="Arial"/>
                <w:sz w:val="20"/>
                <w:szCs w:val="20"/>
              </w:rPr>
              <w:t>5</w:t>
            </w:r>
            <w:r w:rsidR="002403F3" w:rsidRPr="002403F3">
              <w:rPr>
                <w:rFonts w:ascii="Arial" w:eastAsia="Times New Roman" w:hAnsi="Arial"/>
                <w:sz w:val="20"/>
                <w:szCs w:val="20"/>
              </w:rPr>
              <w:t>,</w:t>
            </w:r>
            <w:r>
              <w:rPr>
                <w:rFonts w:ascii="Arial" w:eastAsia="Times New Roman" w:hAnsi="Arial"/>
                <w:sz w:val="20"/>
                <w:szCs w:val="20"/>
              </w:rPr>
              <w:t>981</w:t>
            </w:r>
          </w:p>
        </w:tc>
        <w:tc>
          <w:tcPr>
            <w:tcW w:w="1327" w:type="dxa"/>
          </w:tcPr>
          <w:p w14:paraId="10211460" w14:textId="455F00FF" w:rsidR="002403F3" w:rsidRPr="002403F3" w:rsidRDefault="002403F3" w:rsidP="002403F3">
            <w:pPr>
              <w:tabs>
                <w:tab w:val="decimal" w:pos="910"/>
              </w:tabs>
              <w:spacing w:after="0" w:line="240" w:lineRule="auto"/>
              <w:jc w:val="right"/>
              <w:rPr>
                <w:rFonts w:ascii="Arial" w:eastAsia="Times New Roman" w:hAnsi="Arial"/>
                <w:sz w:val="20"/>
                <w:szCs w:val="20"/>
              </w:rPr>
            </w:pPr>
            <w:r w:rsidRPr="002403F3">
              <w:rPr>
                <w:rFonts w:ascii="Arial" w:eastAsia="Times New Roman" w:hAnsi="Arial"/>
                <w:sz w:val="20"/>
                <w:szCs w:val="20"/>
              </w:rPr>
              <w:t>6,</w:t>
            </w:r>
            <w:r w:rsidR="003C3367">
              <w:rPr>
                <w:rFonts w:ascii="Arial" w:eastAsia="Times New Roman" w:hAnsi="Arial"/>
                <w:sz w:val="20"/>
                <w:szCs w:val="20"/>
              </w:rPr>
              <w:t>101</w:t>
            </w:r>
          </w:p>
        </w:tc>
      </w:tr>
      <w:tr w:rsidR="002403F3" w:rsidRPr="000D57BD" w14:paraId="6439359D" w14:textId="77777777" w:rsidTr="00957DF3">
        <w:trPr>
          <w:cantSplit/>
        </w:trPr>
        <w:tc>
          <w:tcPr>
            <w:tcW w:w="4768" w:type="dxa"/>
          </w:tcPr>
          <w:p w14:paraId="795F9278" w14:textId="5E95A45E" w:rsidR="002403F3" w:rsidRPr="002403F3" w:rsidRDefault="002403F3" w:rsidP="002403F3">
            <w:pPr>
              <w:spacing w:after="0" w:line="240" w:lineRule="auto"/>
              <w:rPr>
                <w:rFonts w:ascii="Arial" w:eastAsia="Times New Roman" w:hAnsi="Arial"/>
                <w:sz w:val="20"/>
                <w:szCs w:val="20"/>
              </w:rPr>
            </w:pPr>
            <w:r w:rsidRPr="002403F3">
              <w:rPr>
                <w:rFonts w:ascii="Arial" w:eastAsia="Times New Roman" w:hAnsi="Arial"/>
                <w:sz w:val="20"/>
                <w:szCs w:val="20"/>
              </w:rPr>
              <w:t>Supplementary Superannuation Charges</w:t>
            </w:r>
          </w:p>
        </w:tc>
        <w:tc>
          <w:tcPr>
            <w:tcW w:w="1134" w:type="dxa"/>
            <w:vAlign w:val="bottom"/>
          </w:tcPr>
          <w:p w14:paraId="628306D8" w14:textId="10B0686D" w:rsidR="002403F3" w:rsidRPr="002403F3" w:rsidRDefault="002403F3" w:rsidP="002403F3">
            <w:pPr>
              <w:tabs>
                <w:tab w:val="decimal" w:pos="910"/>
              </w:tabs>
              <w:spacing w:after="0" w:line="240" w:lineRule="auto"/>
              <w:jc w:val="right"/>
              <w:rPr>
                <w:rFonts w:ascii="Arial" w:eastAsia="Times New Roman" w:hAnsi="Arial"/>
                <w:sz w:val="20"/>
                <w:szCs w:val="20"/>
                <w:u w:val="single"/>
              </w:rPr>
            </w:pPr>
            <w:r w:rsidRPr="002403F3">
              <w:rPr>
                <w:rFonts w:ascii="Arial" w:eastAsia="Times New Roman" w:hAnsi="Arial"/>
                <w:sz w:val="20"/>
                <w:szCs w:val="20"/>
                <w:u w:val="single"/>
              </w:rPr>
              <w:t>200</w:t>
            </w:r>
          </w:p>
        </w:tc>
        <w:tc>
          <w:tcPr>
            <w:tcW w:w="1276" w:type="dxa"/>
            <w:vAlign w:val="bottom"/>
          </w:tcPr>
          <w:p w14:paraId="57AA730B" w14:textId="330D99A5" w:rsidR="002403F3" w:rsidRPr="002403F3" w:rsidRDefault="002403F3" w:rsidP="002403F3">
            <w:pPr>
              <w:tabs>
                <w:tab w:val="decimal" w:pos="910"/>
              </w:tabs>
              <w:spacing w:after="0" w:line="240" w:lineRule="auto"/>
              <w:jc w:val="right"/>
              <w:rPr>
                <w:rFonts w:ascii="Arial" w:eastAsia="Times New Roman" w:hAnsi="Arial"/>
                <w:sz w:val="20"/>
                <w:szCs w:val="20"/>
                <w:u w:val="single"/>
              </w:rPr>
            </w:pPr>
            <w:r w:rsidRPr="002403F3">
              <w:rPr>
                <w:rFonts w:ascii="Arial" w:eastAsia="Times New Roman" w:hAnsi="Arial"/>
                <w:sz w:val="20"/>
                <w:szCs w:val="20"/>
                <w:u w:val="single"/>
              </w:rPr>
              <w:t>200</w:t>
            </w:r>
          </w:p>
        </w:tc>
        <w:tc>
          <w:tcPr>
            <w:tcW w:w="1276" w:type="dxa"/>
            <w:vAlign w:val="bottom"/>
          </w:tcPr>
          <w:p w14:paraId="410C6063" w14:textId="509625BA" w:rsidR="002403F3" w:rsidRPr="002403F3" w:rsidRDefault="002403F3" w:rsidP="002403F3">
            <w:pPr>
              <w:tabs>
                <w:tab w:val="decimal" w:pos="910"/>
              </w:tabs>
              <w:spacing w:after="0" w:line="240" w:lineRule="auto"/>
              <w:jc w:val="right"/>
              <w:rPr>
                <w:rFonts w:ascii="Arial" w:eastAsia="Times New Roman" w:hAnsi="Arial"/>
                <w:sz w:val="20"/>
                <w:szCs w:val="20"/>
                <w:u w:val="single"/>
              </w:rPr>
            </w:pPr>
            <w:r w:rsidRPr="002403F3">
              <w:rPr>
                <w:rFonts w:ascii="Arial" w:eastAsia="Times New Roman" w:hAnsi="Arial"/>
                <w:sz w:val="20"/>
                <w:szCs w:val="20"/>
                <w:u w:val="single"/>
              </w:rPr>
              <w:t>204</w:t>
            </w:r>
          </w:p>
        </w:tc>
        <w:tc>
          <w:tcPr>
            <w:tcW w:w="1327" w:type="dxa"/>
            <w:vAlign w:val="bottom"/>
          </w:tcPr>
          <w:p w14:paraId="12DA8551" w14:textId="3F274918" w:rsidR="002403F3" w:rsidRPr="002403F3" w:rsidRDefault="002403F3" w:rsidP="002403F3">
            <w:pPr>
              <w:tabs>
                <w:tab w:val="decimal" w:pos="910"/>
              </w:tabs>
              <w:spacing w:after="0" w:line="240" w:lineRule="auto"/>
              <w:jc w:val="right"/>
              <w:rPr>
                <w:rFonts w:ascii="Arial" w:eastAsia="Times New Roman" w:hAnsi="Arial"/>
                <w:sz w:val="20"/>
                <w:szCs w:val="20"/>
                <w:u w:val="single"/>
              </w:rPr>
            </w:pPr>
            <w:r w:rsidRPr="002403F3">
              <w:rPr>
                <w:rFonts w:ascii="Arial" w:eastAsia="Times New Roman" w:hAnsi="Arial"/>
                <w:sz w:val="20"/>
                <w:szCs w:val="20"/>
                <w:u w:val="single"/>
              </w:rPr>
              <w:t>208</w:t>
            </w:r>
          </w:p>
        </w:tc>
      </w:tr>
      <w:tr w:rsidR="002403F3" w:rsidRPr="000D57BD" w14:paraId="6F1CF680" w14:textId="77777777" w:rsidTr="004A52D7">
        <w:trPr>
          <w:cantSplit/>
        </w:trPr>
        <w:tc>
          <w:tcPr>
            <w:tcW w:w="4768" w:type="dxa"/>
          </w:tcPr>
          <w:p w14:paraId="01CAA2ED" w14:textId="6B556231" w:rsidR="002403F3" w:rsidRPr="002403F3" w:rsidRDefault="002403F3" w:rsidP="002403F3">
            <w:pPr>
              <w:keepNext/>
              <w:tabs>
                <w:tab w:val="left" w:pos="1985"/>
              </w:tabs>
              <w:spacing w:after="0" w:line="360" w:lineRule="auto"/>
              <w:jc w:val="both"/>
              <w:outlineLvl w:val="1"/>
              <w:rPr>
                <w:rFonts w:ascii="Arial" w:eastAsia="Times New Roman" w:hAnsi="Arial"/>
                <w:b/>
                <w:sz w:val="20"/>
                <w:szCs w:val="20"/>
              </w:rPr>
            </w:pPr>
            <w:r w:rsidRPr="002403F3">
              <w:rPr>
                <w:rFonts w:ascii="Arial" w:eastAsia="Times New Roman" w:hAnsi="Arial"/>
                <w:b/>
                <w:sz w:val="20"/>
                <w:szCs w:val="20"/>
              </w:rPr>
              <w:t>TOTAL STAFF COSTS</w:t>
            </w:r>
          </w:p>
        </w:tc>
        <w:tc>
          <w:tcPr>
            <w:tcW w:w="1134" w:type="dxa"/>
          </w:tcPr>
          <w:p w14:paraId="55D91E3C" w14:textId="6315EB6B" w:rsidR="002403F3" w:rsidRPr="002403F3" w:rsidRDefault="002403F3" w:rsidP="002403F3">
            <w:pPr>
              <w:tabs>
                <w:tab w:val="decimal" w:pos="910"/>
              </w:tabs>
              <w:spacing w:after="0" w:line="240" w:lineRule="auto"/>
              <w:jc w:val="right"/>
              <w:rPr>
                <w:rFonts w:ascii="Arial" w:eastAsia="Times New Roman" w:hAnsi="Arial"/>
                <w:sz w:val="20"/>
                <w:szCs w:val="20"/>
                <w:u w:val="single"/>
              </w:rPr>
            </w:pPr>
            <w:r w:rsidRPr="002403F3">
              <w:rPr>
                <w:rFonts w:ascii="Arial" w:eastAsia="Times New Roman" w:hAnsi="Arial"/>
                <w:sz w:val="20"/>
                <w:szCs w:val="20"/>
                <w:u w:val="single"/>
              </w:rPr>
              <w:t>6,044</w:t>
            </w:r>
          </w:p>
        </w:tc>
        <w:tc>
          <w:tcPr>
            <w:tcW w:w="1276" w:type="dxa"/>
          </w:tcPr>
          <w:p w14:paraId="0569D039" w14:textId="7258AE3E" w:rsidR="002403F3" w:rsidRPr="002403F3" w:rsidRDefault="002403F3" w:rsidP="002403F3">
            <w:pPr>
              <w:tabs>
                <w:tab w:val="decimal" w:pos="910"/>
              </w:tabs>
              <w:spacing w:after="0" w:line="240" w:lineRule="auto"/>
              <w:jc w:val="right"/>
              <w:rPr>
                <w:rFonts w:ascii="Arial" w:eastAsia="Times New Roman" w:hAnsi="Arial"/>
                <w:sz w:val="20"/>
                <w:szCs w:val="20"/>
                <w:u w:val="single"/>
              </w:rPr>
            </w:pPr>
            <w:r w:rsidRPr="002403F3">
              <w:rPr>
                <w:rFonts w:ascii="Arial" w:eastAsia="Times New Roman" w:hAnsi="Arial"/>
                <w:sz w:val="20"/>
                <w:szCs w:val="20"/>
                <w:u w:val="single"/>
              </w:rPr>
              <w:t>6,</w:t>
            </w:r>
            <w:r w:rsidR="003C3367">
              <w:rPr>
                <w:rFonts w:ascii="Arial" w:eastAsia="Times New Roman" w:hAnsi="Arial"/>
                <w:sz w:val="20"/>
                <w:szCs w:val="20"/>
                <w:u w:val="single"/>
              </w:rPr>
              <w:t>063</w:t>
            </w:r>
          </w:p>
        </w:tc>
        <w:tc>
          <w:tcPr>
            <w:tcW w:w="1276" w:type="dxa"/>
          </w:tcPr>
          <w:p w14:paraId="4765DED1" w14:textId="285338F3" w:rsidR="002403F3" w:rsidRPr="002403F3" w:rsidRDefault="002403F3" w:rsidP="002403F3">
            <w:pPr>
              <w:tabs>
                <w:tab w:val="decimal" w:pos="910"/>
              </w:tabs>
              <w:spacing w:after="0" w:line="240" w:lineRule="auto"/>
              <w:jc w:val="right"/>
              <w:rPr>
                <w:rFonts w:ascii="Arial" w:eastAsia="Times New Roman" w:hAnsi="Arial"/>
                <w:sz w:val="20"/>
                <w:szCs w:val="20"/>
                <w:u w:val="single"/>
              </w:rPr>
            </w:pPr>
            <w:r w:rsidRPr="002403F3">
              <w:rPr>
                <w:rFonts w:ascii="Arial" w:eastAsia="Times New Roman" w:hAnsi="Arial"/>
                <w:sz w:val="20"/>
                <w:szCs w:val="20"/>
                <w:u w:val="single"/>
              </w:rPr>
              <w:t>6,</w:t>
            </w:r>
            <w:r w:rsidR="003C3367">
              <w:rPr>
                <w:rFonts w:ascii="Arial" w:eastAsia="Times New Roman" w:hAnsi="Arial"/>
                <w:sz w:val="20"/>
                <w:szCs w:val="20"/>
                <w:u w:val="single"/>
              </w:rPr>
              <w:t>185</w:t>
            </w:r>
          </w:p>
        </w:tc>
        <w:tc>
          <w:tcPr>
            <w:tcW w:w="1327" w:type="dxa"/>
          </w:tcPr>
          <w:p w14:paraId="2A21D60A" w14:textId="1D41C8EF" w:rsidR="002403F3" w:rsidRPr="002403F3" w:rsidRDefault="002403F3" w:rsidP="002403F3">
            <w:pPr>
              <w:tabs>
                <w:tab w:val="decimal" w:pos="910"/>
              </w:tabs>
              <w:spacing w:after="0" w:line="240" w:lineRule="auto"/>
              <w:jc w:val="right"/>
              <w:rPr>
                <w:rFonts w:ascii="Arial" w:eastAsia="Times New Roman" w:hAnsi="Arial"/>
                <w:sz w:val="20"/>
                <w:szCs w:val="20"/>
                <w:u w:val="single"/>
              </w:rPr>
            </w:pPr>
            <w:r w:rsidRPr="002403F3">
              <w:rPr>
                <w:rFonts w:ascii="Arial" w:eastAsia="Times New Roman" w:hAnsi="Arial"/>
                <w:sz w:val="20"/>
                <w:szCs w:val="20"/>
                <w:u w:val="single"/>
              </w:rPr>
              <w:t>6,</w:t>
            </w:r>
            <w:r w:rsidR="003C3367">
              <w:rPr>
                <w:rFonts w:ascii="Arial" w:eastAsia="Times New Roman" w:hAnsi="Arial"/>
                <w:sz w:val="20"/>
                <w:szCs w:val="20"/>
                <w:u w:val="single"/>
              </w:rPr>
              <w:t>309</w:t>
            </w:r>
          </w:p>
        </w:tc>
      </w:tr>
      <w:tr w:rsidR="004C3D88" w:rsidRPr="004C3D88" w14:paraId="5C9B2D98" w14:textId="77777777" w:rsidTr="004A52D7">
        <w:trPr>
          <w:gridAfter w:val="1"/>
          <w:wAfter w:w="1327" w:type="dxa"/>
          <w:cantSplit/>
        </w:trPr>
        <w:tc>
          <w:tcPr>
            <w:tcW w:w="4768" w:type="dxa"/>
          </w:tcPr>
          <w:p w14:paraId="45298788" w14:textId="77777777" w:rsidR="004C3D88" w:rsidRPr="000D57BD" w:rsidRDefault="004C3D88" w:rsidP="00E0016F">
            <w:pPr>
              <w:spacing w:after="0" w:line="240" w:lineRule="auto"/>
              <w:rPr>
                <w:rFonts w:ascii="Arial" w:eastAsia="Times New Roman" w:hAnsi="Arial"/>
                <w:b/>
                <w:color w:val="000000" w:themeColor="text1"/>
                <w:sz w:val="20"/>
                <w:szCs w:val="20"/>
              </w:rPr>
            </w:pPr>
            <w:r w:rsidRPr="000D57BD">
              <w:rPr>
                <w:rFonts w:ascii="Arial" w:eastAsia="Times New Roman" w:hAnsi="Arial"/>
                <w:b/>
                <w:color w:val="000000" w:themeColor="text1"/>
                <w:sz w:val="20"/>
                <w:szCs w:val="20"/>
              </w:rPr>
              <w:t>PROPERTY COSTS</w:t>
            </w:r>
          </w:p>
        </w:tc>
        <w:tc>
          <w:tcPr>
            <w:tcW w:w="1134" w:type="dxa"/>
          </w:tcPr>
          <w:p w14:paraId="65415022" w14:textId="77777777" w:rsidR="004C3D88" w:rsidRPr="00E0016F" w:rsidRDefault="004C3D88" w:rsidP="00E0016F">
            <w:pPr>
              <w:tabs>
                <w:tab w:val="decimal" w:pos="910"/>
              </w:tabs>
              <w:spacing w:after="0" w:line="240" w:lineRule="auto"/>
              <w:jc w:val="right"/>
              <w:rPr>
                <w:rFonts w:ascii="Arial" w:eastAsia="Times New Roman" w:hAnsi="Arial"/>
                <w:sz w:val="20"/>
                <w:szCs w:val="20"/>
              </w:rPr>
            </w:pPr>
          </w:p>
        </w:tc>
        <w:tc>
          <w:tcPr>
            <w:tcW w:w="1276" w:type="dxa"/>
          </w:tcPr>
          <w:p w14:paraId="15AC1F7E" w14:textId="77777777" w:rsidR="004C3D88" w:rsidRPr="004C3D88" w:rsidRDefault="004C3D88" w:rsidP="00E0016F">
            <w:pPr>
              <w:tabs>
                <w:tab w:val="decimal" w:pos="910"/>
              </w:tabs>
              <w:spacing w:after="0" w:line="240" w:lineRule="auto"/>
              <w:jc w:val="right"/>
              <w:rPr>
                <w:rFonts w:ascii="Arial" w:eastAsia="Times New Roman" w:hAnsi="Arial"/>
                <w:color w:val="000000" w:themeColor="text1"/>
                <w:sz w:val="20"/>
                <w:szCs w:val="20"/>
              </w:rPr>
            </w:pPr>
          </w:p>
        </w:tc>
        <w:tc>
          <w:tcPr>
            <w:tcW w:w="1276" w:type="dxa"/>
          </w:tcPr>
          <w:p w14:paraId="0740D0E9" w14:textId="77777777" w:rsidR="004C3D88" w:rsidRPr="004C3D88" w:rsidRDefault="004C3D88" w:rsidP="00E0016F">
            <w:pPr>
              <w:tabs>
                <w:tab w:val="decimal" w:pos="910"/>
              </w:tabs>
              <w:spacing w:after="0" w:line="240" w:lineRule="auto"/>
              <w:jc w:val="right"/>
              <w:rPr>
                <w:rFonts w:ascii="Arial" w:eastAsia="Times New Roman" w:hAnsi="Arial"/>
                <w:color w:val="000000" w:themeColor="text1"/>
                <w:sz w:val="20"/>
                <w:szCs w:val="20"/>
              </w:rPr>
            </w:pPr>
          </w:p>
        </w:tc>
      </w:tr>
      <w:tr w:rsidR="00E0016F" w:rsidRPr="000D57BD" w14:paraId="18FD7832" w14:textId="77777777" w:rsidTr="00957DF3">
        <w:trPr>
          <w:cantSplit/>
        </w:trPr>
        <w:tc>
          <w:tcPr>
            <w:tcW w:w="4768" w:type="dxa"/>
          </w:tcPr>
          <w:p w14:paraId="48310DD7" w14:textId="77777777" w:rsidR="00E0016F" w:rsidRPr="000D57BD" w:rsidRDefault="00E0016F" w:rsidP="00E0016F">
            <w:pPr>
              <w:spacing w:after="0" w:line="240" w:lineRule="auto"/>
              <w:rPr>
                <w:rFonts w:ascii="Arial" w:eastAsia="Times New Roman" w:hAnsi="Arial"/>
                <w:color w:val="000000" w:themeColor="text1"/>
                <w:sz w:val="20"/>
                <w:szCs w:val="20"/>
              </w:rPr>
            </w:pPr>
            <w:r w:rsidRPr="000D57BD">
              <w:rPr>
                <w:rFonts w:ascii="Arial" w:eastAsia="Times New Roman" w:hAnsi="Arial"/>
                <w:color w:val="000000" w:themeColor="text1"/>
                <w:sz w:val="20"/>
                <w:szCs w:val="20"/>
              </w:rPr>
              <w:t>Rents</w:t>
            </w:r>
          </w:p>
        </w:tc>
        <w:tc>
          <w:tcPr>
            <w:tcW w:w="1134" w:type="dxa"/>
            <w:vAlign w:val="bottom"/>
          </w:tcPr>
          <w:p w14:paraId="1CECC0FB" w14:textId="77777777" w:rsidR="00E0016F" w:rsidRPr="00E0016F" w:rsidRDefault="00E0016F" w:rsidP="00E0016F">
            <w:pPr>
              <w:tabs>
                <w:tab w:val="decimal" w:pos="910"/>
              </w:tabs>
              <w:spacing w:after="0" w:line="240" w:lineRule="auto"/>
              <w:jc w:val="right"/>
              <w:rPr>
                <w:rFonts w:ascii="Arial" w:eastAsia="Times New Roman" w:hAnsi="Arial"/>
                <w:sz w:val="20"/>
                <w:szCs w:val="20"/>
              </w:rPr>
            </w:pPr>
            <w:r w:rsidRPr="00E0016F">
              <w:rPr>
                <w:rFonts w:ascii="Arial" w:eastAsia="Times New Roman" w:hAnsi="Arial"/>
                <w:sz w:val="20"/>
                <w:szCs w:val="20"/>
              </w:rPr>
              <w:t>16</w:t>
            </w:r>
            <w:r w:rsidR="009B3937">
              <w:rPr>
                <w:rFonts w:ascii="Arial" w:eastAsia="Times New Roman" w:hAnsi="Arial"/>
                <w:sz w:val="20"/>
                <w:szCs w:val="20"/>
              </w:rPr>
              <w:t>8</w:t>
            </w:r>
          </w:p>
        </w:tc>
        <w:tc>
          <w:tcPr>
            <w:tcW w:w="1276" w:type="dxa"/>
            <w:vAlign w:val="bottom"/>
          </w:tcPr>
          <w:p w14:paraId="41B428C9" w14:textId="77777777" w:rsidR="00E0016F" w:rsidRPr="004C3D88" w:rsidRDefault="00C228B7"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168</w:t>
            </w:r>
          </w:p>
        </w:tc>
        <w:tc>
          <w:tcPr>
            <w:tcW w:w="1276" w:type="dxa"/>
            <w:vAlign w:val="bottom"/>
          </w:tcPr>
          <w:p w14:paraId="378D8B6D" w14:textId="77777777"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168</w:t>
            </w:r>
          </w:p>
        </w:tc>
        <w:tc>
          <w:tcPr>
            <w:tcW w:w="1327" w:type="dxa"/>
            <w:vAlign w:val="bottom"/>
          </w:tcPr>
          <w:p w14:paraId="4C2A975C" w14:textId="77777777" w:rsidR="00E0016F" w:rsidRPr="004C3D88" w:rsidRDefault="004C3D88" w:rsidP="004C3D88">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168</w:t>
            </w:r>
          </w:p>
        </w:tc>
      </w:tr>
      <w:tr w:rsidR="00E0016F" w:rsidRPr="000D57BD" w14:paraId="1E690048" w14:textId="77777777" w:rsidTr="00957DF3">
        <w:trPr>
          <w:cantSplit/>
        </w:trPr>
        <w:tc>
          <w:tcPr>
            <w:tcW w:w="4768" w:type="dxa"/>
          </w:tcPr>
          <w:p w14:paraId="4EF8CC7D" w14:textId="77777777" w:rsidR="00E0016F" w:rsidRPr="000D57BD" w:rsidRDefault="00492CC8" w:rsidP="00E0016F">
            <w:pPr>
              <w:spacing w:after="0" w:line="240" w:lineRule="auto"/>
              <w:rPr>
                <w:rFonts w:ascii="Arial" w:eastAsia="Times New Roman" w:hAnsi="Arial"/>
                <w:color w:val="000000" w:themeColor="text1"/>
                <w:sz w:val="20"/>
                <w:szCs w:val="20"/>
              </w:rPr>
            </w:pPr>
            <w:r w:rsidRPr="000D57BD">
              <w:rPr>
                <w:rFonts w:ascii="Arial" w:eastAsia="Times New Roman" w:hAnsi="Arial"/>
                <w:color w:val="000000" w:themeColor="text1"/>
                <w:sz w:val="20"/>
                <w:szCs w:val="20"/>
              </w:rPr>
              <w:t>Non-Domestic</w:t>
            </w:r>
            <w:r w:rsidR="00E0016F" w:rsidRPr="000D57BD">
              <w:rPr>
                <w:rFonts w:ascii="Arial" w:eastAsia="Times New Roman" w:hAnsi="Arial"/>
                <w:color w:val="000000" w:themeColor="text1"/>
                <w:sz w:val="20"/>
                <w:szCs w:val="20"/>
              </w:rPr>
              <w:t xml:space="preserve"> Rates </w:t>
            </w:r>
          </w:p>
        </w:tc>
        <w:tc>
          <w:tcPr>
            <w:tcW w:w="1134" w:type="dxa"/>
            <w:vAlign w:val="bottom"/>
          </w:tcPr>
          <w:p w14:paraId="39C9A556" w14:textId="77777777" w:rsidR="00E0016F" w:rsidRPr="00E0016F" w:rsidRDefault="00E0016F" w:rsidP="00E0016F">
            <w:pPr>
              <w:tabs>
                <w:tab w:val="decimal" w:pos="910"/>
              </w:tabs>
              <w:spacing w:after="0" w:line="240" w:lineRule="auto"/>
              <w:jc w:val="right"/>
              <w:rPr>
                <w:rFonts w:ascii="Arial" w:eastAsia="Times New Roman" w:hAnsi="Arial"/>
                <w:sz w:val="20"/>
                <w:szCs w:val="20"/>
              </w:rPr>
            </w:pPr>
            <w:r w:rsidRPr="00E0016F">
              <w:rPr>
                <w:rFonts w:ascii="Arial" w:eastAsia="Times New Roman" w:hAnsi="Arial"/>
                <w:sz w:val="20"/>
                <w:szCs w:val="20"/>
              </w:rPr>
              <w:t>19</w:t>
            </w:r>
            <w:r w:rsidR="009B3937">
              <w:rPr>
                <w:rFonts w:ascii="Arial" w:eastAsia="Times New Roman" w:hAnsi="Arial"/>
                <w:sz w:val="20"/>
                <w:szCs w:val="20"/>
              </w:rPr>
              <w:t>7</w:t>
            </w:r>
          </w:p>
        </w:tc>
        <w:tc>
          <w:tcPr>
            <w:tcW w:w="1276" w:type="dxa"/>
            <w:vAlign w:val="bottom"/>
          </w:tcPr>
          <w:p w14:paraId="07D8AA7D" w14:textId="77777777" w:rsidR="00E0016F" w:rsidRPr="004C3D88" w:rsidRDefault="009B3937" w:rsidP="00E0016F">
            <w:pPr>
              <w:tabs>
                <w:tab w:val="decimal" w:pos="910"/>
              </w:tabs>
              <w:spacing w:after="0" w:line="240" w:lineRule="auto"/>
              <w:jc w:val="right"/>
              <w:rPr>
                <w:rFonts w:ascii="Arial" w:eastAsia="Times New Roman" w:hAnsi="Arial"/>
                <w:color w:val="000000" w:themeColor="text1"/>
                <w:sz w:val="20"/>
                <w:szCs w:val="20"/>
              </w:rPr>
            </w:pPr>
            <w:r>
              <w:rPr>
                <w:rFonts w:ascii="Arial" w:eastAsia="Times New Roman" w:hAnsi="Arial"/>
                <w:color w:val="000000" w:themeColor="text1"/>
                <w:sz w:val="20"/>
                <w:szCs w:val="20"/>
              </w:rPr>
              <w:t>205</w:t>
            </w:r>
          </w:p>
        </w:tc>
        <w:tc>
          <w:tcPr>
            <w:tcW w:w="1276" w:type="dxa"/>
            <w:vAlign w:val="bottom"/>
          </w:tcPr>
          <w:p w14:paraId="1E113383" w14:textId="77777777"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20</w:t>
            </w:r>
            <w:r w:rsidR="005B0D7C">
              <w:rPr>
                <w:rFonts w:ascii="Arial" w:eastAsia="Times New Roman" w:hAnsi="Arial"/>
                <w:color w:val="000000" w:themeColor="text1"/>
                <w:sz w:val="20"/>
                <w:szCs w:val="20"/>
              </w:rPr>
              <w:t>9</w:t>
            </w:r>
          </w:p>
        </w:tc>
        <w:tc>
          <w:tcPr>
            <w:tcW w:w="1327" w:type="dxa"/>
            <w:vAlign w:val="bottom"/>
          </w:tcPr>
          <w:p w14:paraId="14F1E19D" w14:textId="77777777"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2</w:t>
            </w:r>
            <w:r w:rsidR="005B0D7C">
              <w:rPr>
                <w:rFonts w:ascii="Arial" w:eastAsia="Times New Roman" w:hAnsi="Arial"/>
                <w:color w:val="000000" w:themeColor="text1"/>
                <w:sz w:val="20"/>
                <w:szCs w:val="20"/>
              </w:rPr>
              <w:t>13</w:t>
            </w:r>
          </w:p>
        </w:tc>
      </w:tr>
      <w:tr w:rsidR="00E0016F" w:rsidRPr="000D57BD" w14:paraId="28B8761D" w14:textId="77777777" w:rsidTr="00957DF3">
        <w:trPr>
          <w:cantSplit/>
        </w:trPr>
        <w:tc>
          <w:tcPr>
            <w:tcW w:w="4768" w:type="dxa"/>
          </w:tcPr>
          <w:p w14:paraId="3D3C7F22" w14:textId="77777777" w:rsidR="00E0016F" w:rsidRPr="000D57BD" w:rsidRDefault="00E0016F" w:rsidP="00E0016F">
            <w:pPr>
              <w:spacing w:after="0" w:line="240" w:lineRule="auto"/>
              <w:rPr>
                <w:rFonts w:ascii="Arial" w:eastAsia="Times New Roman" w:hAnsi="Arial"/>
                <w:color w:val="000000" w:themeColor="text1"/>
                <w:sz w:val="20"/>
                <w:szCs w:val="20"/>
              </w:rPr>
            </w:pPr>
            <w:r w:rsidRPr="000D57BD">
              <w:rPr>
                <w:rFonts w:ascii="Arial" w:eastAsia="Times New Roman" w:hAnsi="Arial"/>
                <w:color w:val="000000" w:themeColor="text1"/>
                <w:sz w:val="20"/>
                <w:szCs w:val="20"/>
              </w:rPr>
              <w:t>Property Insurance</w:t>
            </w:r>
          </w:p>
        </w:tc>
        <w:tc>
          <w:tcPr>
            <w:tcW w:w="1134" w:type="dxa"/>
            <w:vAlign w:val="bottom"/>
          </w:tcPr>
          <w:p w14:paraId="54E5FEF0" w14:textId="77777777" w:rsidR="00E0016F" w:rsidRPr="00E0016F" w:rsidRDefault="00E0016F" w:rsidP="00E0016F">
            <w:pPr>
              <w:tabs>
                <w:tab w:val="decimal" w:pos="910"/>
              </w:tabs>
              <w:spacing w:after="0" w:line="240" w:lineRule="auto"/>
              <w:jc w:val="right"/>
              <w:rPr>
                <w:rFonts w:ascii="Arial" w:eastAsia="Times New Roman" w:hAnsi="Arial"/>
                <w:sz w:val="20"/>
                <w:szCs w:val="20"/>
              </w:rPr>
            </w:pPr>
            <w:r w:rsidRPr="00E0016F">
              <w:rPr>
                <w:rFonts w:ascii="Arial" w:eastAsia="Times New Roman" w:hAnsi="Arial"/>
                <w:sz w:val="20"/>
                <w:szCs w:val="20"/>
              </w:rPr>
              <w:t>560</w:t>
            </w:r>
          </w:p>
        </w:tc>
        <w:tc>
          <w:tcPr>
            <w:tcW w:w="1276" w:type="dxa"/>
            <w:vAlign w:val="bottom"/>
          </w:tcPr>
          <w:p w14:paraId="167210E3" w14:textId="77777777" w:rsidR="00E0016F" w:rsidRPr="004C3D88" w:rsidRDefault="00C228B7"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560</w:t>
            </w:r>
          </w:p>
        </w:tc>
        <w:tc>
          <w:tcPr>
            <w:tcW w:w="1276" w:type="dxa"/>
            <w:vAlign w:val="bottom"/>
          </w:tcPr>
          <w:p w14:paraId="30FE83D2" w14:textId="77777777"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560</w:t>
            </w:r>
          </w:p>
        </w:tc>
        <w:tc>
          <w:tcPr>
            <w:tcW w:w="1327" w:type="dxa"/>
            <w:vAlign w:val="bottom"/>
          </w:tcPr>
          <w:p w14:paraId="2F13E156" w14:textId="77777777"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560</w:t>
            </w:r>
          </w:p>
        </w:tc>
      </w:tr>
      <w:tr w:rsidR="00E0016F" w:rsidRPr="000D57BD" w14:paraId="36A53C30" w14:textId="77777777" w:rsidTr="00957DF3">
        <w:trPr>
          <w:cantSplit/>
        </w:trPr>
        <w:tc>
          <w:tcPr>
            <w:tcW w:w="4768" w:type="dxa"/>
          </w:tcPr>
          <w:p w14:paraId="4797F028" w14:textId="77777777" w:rsidR="00E0016F" w:rsidRPr="000D57BD" w:rsidRDefault="00E0016F" w:rsidP="00E0016F">
            <w:pPr>
              <w:spacing w:after="0" w:line="240" w:lineRule="auto"/>
              <w:rPr>
                <w:rFonts w:ascii="Arial" w:eastAsia="Times New Roman" w:hAnsi="Arial"/>
                <w:color w:val="000000" w:themeColor="text1"/>
                <w:sz w:val="20"/>
                <w:szCs w:val="20"/>
              </w:rPr>
            </w:pPr>
            <w:r w:rsidRPr="000D57BD">
              <w:rPr>
                <w:rFonts w:ascii="Arial" w:eastAsia="Times New Roman" w:hAnsi="Arial"/>
                <w:color w:val="000000" w:themeColor="text1"/>
                <w:sz w:val="20"/>
                <w:szCs w:val="20"/>
              </w:rPr>
              <w:t>Repairs and Maintenance</w:t>
            </w:r>
          </w:p>
        </w:tc>
        <w:tc>
          <w:tcPr>
            <w:tcW w:w="1134" w:type="dxa"/>
            <w:vAlign w:val="bottom"/>
          </w:tcPr>
          <w:p w14:paraId="2AE4FC29" w14:textId="77777777" w:rsidR="00E0016F" w:rsidRPr="00E0016F" w:rsidRDefault="00E0016F" w:rsidP="00E0016F">
            <w:pPr>
              <w:tabs>
                <w:tab w:val="decimal" w:pos="910"/>
              </w:tabs>
              <w:spacing w:after="0" w:line="240" w:lineRule="auto"/>
              <w:jc w:val="right"/>
              <w:rPr>
                <w:rFonts w:ascii="Arial" w:eastAsia="Times New Roman" w:hAnsi="Arial"/>
                <w:sz w:val="20"/>
                <w:szCs w:val="20"/>
              </w:rPr>
            </w:pPr>
            <w:r w:rsidRPr="00E0016F">
              <w:rPr>
                <w:rFonts w:ascii="Arial" w:eastAsia="Times New Roman" w:hAnsi="Arial"/>
                <w:sz w:val="20"/>
                <w:szCs w:val="20"/>
              </w:rPr>
              <w:t>1</w:t>
            </w:r>
            <w:r w:rsidR="009B3937">
              <w:rPr>
                <w:rFonts w:ascii="Arial" w:eastAsia="Times New Roman" w:hAnsi="Arial"/>
                <w:sz w:val="20"/>
                <w:szCs w:val="20"/>
              </w:rPr>
              <w:t>2,023</w:t>
            </w:r>
          </w:p>
        </w:tc>
        <w:tc>
          <w:tcPr>
            <w:tcW w:w="1276" w:type="dxa"/>
            <w:vAlign w:val="bottom"/>
          </w:tcPr>
          <w:p w14:paraId="2DAA6B44" w14:textId="77777777" w:rsidR="00E0016F" w:rsidRPr="004C3D88" w:rsidRDefault="00C228B7"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12,</w:t>
            </w:r>
            <w:r w:rsidR="009B3937">
              <w:rPr>
                <w:rFonts w:ascii="Arial" w:eastAsia="Times New Roman" w:hAnsi="Arial"/>
                <w:color w:val="000000" w:themeColor="text1"/>
                <w:sz w:val="20"/>
                <w:szCs w:val="20"/>
              </w:rPr>
              <w:t>14</w:t>
            </w:r>
            <w:r w:rsidR="00DE534A">
              <w:rPr>
                <w:rFonts w:ascii="Arial" w:eastAsia="Times New Roman" w:hAnsi="Arial"/>
                <w:color w:val="000000" w:themeColor="text1"/>
                <w:sz w:val="20"/>
                <w:szCs w:val="20"/>
              </w:rPr>
              <w:t>9</w:t>
            </w:r>
          </w:p>
        </w:tc>
        <w:tc>
          <w:tcPr>
            <w:tcW w:w="1276" w:type="dxa"/>
            <w:vAlign w:val="bottom"/>
          </w:tcPr>
          <w:p w14:paraId="7DE1D648" w14:textId="0548D93C"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12,</w:t>
            </w:r>
            <w:r w:rsidR="005B0D7C">
              <w:rPr>
                <w:rFonts w:ascii="Arial" w:eastAsia="Times New Roman" w:hAnsi="Arial"/>
                <w:color w:val="000000" w:themeColor="text1"/>
                <w:sz w:val="20"/>
                <w:szCs w:val="20"/>
              </w:rPr>
              <w:t>39</w:t>
            </w:r>
            <w:r w:rsidR="0078595E">
              <w:rPr>
                <w:rFonts w:ascii="Arial" w:eastAsia="Times New Roman" w:hAnsi="Arial"/>
                <w:color w:val="000000" w:themeColor="text1"/>
                <w:sz w:val="20"/>
                <w:szCs w:val="20"/>
              </w:rPr>
              <w:t>2</w:t>
            </w:r>
          </w:p>
        </w:tc>
        <w:tc>
          <w:tcPr>
            <w:tcW w:w="1327" w:type="dxa"/>
            <w:vAlign w:val="bottom"/>
          </w:tcPr>
          <w:p w14:paraId="5BE68C67" w14:textId="77777777"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12,</w:t>
            </w:r>
            <w:r w:rsidR="005B0D7C">
              <w:rPr>
                <w:rFonts w:ascii="Arial" w:eastAsia="Times New Roman" w:hAnsi="Arial"/>
                <w:color w:val="000000" w:themeColor="text1"/>
                <w:sz w:val="20"/>
                <w:szCs w:val="20"/>
              </w:rPr>
              <w:t>63</w:t>
            </w:r>
            <w:r w:rsidR="00DE0490">
              <w:rPr>
                <w:rFonts w:ascii="Arial" w:eastAsia="Times New Roman" w:hAnsi="Arial"/>
                <w:color w:val="000000" w:themeColor="text1"/>
                <w:sz w:val="20"/>
                <w:szCs w:val="20"/>
              </w:rPr>
              <w:t>9</w:t>
            </w:r>
          </w:p>
        </w:tc>
      </w:tr>
      <w:tr w:rsidR="00E0016F" w:rsidRPr="000D57BD" w14:paraId="459D4B28" w14:textId="77777777" w:rsidTr="00957DF3">
        <w:trPr>
          <w:cantSplit/>
        </w:trPr>
        <w:tc>
          <w:tcPr>
            <w:tcW w:w="4768" w:type="dxa"/>
          </w:tcPr>
          <w:p w14:paraId="7C02BF12" w14:textId="77777777" w:rsidR="00E0016F" w:rsidRPr="000D57BD" w:rsidRDefault="00E0016F" w:rsidP="00E0016F">
            <w:pPr>
              <w:spacing w:after="0" w:line="240" w:lineRule="auto"/>
              <w:rPr>
                <w:rFonts w:ascii="Arial" w:eastAsia="Times New Roman" w:hAnsi="Arial"/>
                <w:color w:val="000000" w:themeColor="text1"/>
                <w:sz w:val="20"/>
                <w:szCs w:val="20"/>
              </w:rPr>
            </w:pPr>
            <w:r w:rsidRPr="000D57BD">
              <w:rPr>
                <w:rFonts w:ascii="Arial" w:eastAsia="Times New Roman" w:hAnsi="Arial"/>
                <w:color w:val="000000" w:themeColor="text1"/>
                <w:sz w:val="20"/>
                <w:szCs w:val="20"/>
              </w:rPr>
              <w:t>Health and Safety Contracts</w:t>
            </w:r>
          </w:p>
        </w:tc>
        <w:tc>
          <w:tcPr>
            <w:tcW w:w="1134" w:type="dxa"/>
            <w:vAlign w:val="bottom"/>
          </w:tcPr>
          <w:p w14:paraId="10691A3E" w14:textId="77777777" w:rsidR="00E0016F" w:rsidRPr="00E0016F" w:rsidRDefault="00E0016F" w:rsidP="00E0016F">
            <w:pPr>
              <w:tabs>
                <w:tab w:val="decimal" w:pos="910"/>
              </w:tabs>
              <w:spacing w:after="0" w:line="240" w:lineRule="auto"/>
              <w:jc w:val="right"/>
              <w:rPr>
                <w:rFonts w:ascii="Arial" w:eastAsia="Times New Roman" w:hAnsi="Arial"/>
                <w:sz w:val="20"/>
                <w:szCs w:val="20"/>
              </w:rPr>
            </w:pPr>
            <w:r w:rsidRPr="00E0016F">
              <w:rPr>
                <w:rFonts w:ascii="Arial" w:eastAsia="Times New Roman" w:hAnsi="Arial"/>
                <w:sz w:val="20"/>
                <w:szCs w:val="20"/>
              </w:rPr>
              <w:t>150</w:t>
            </w:r>
          </w:p>
        </w:tc>
        <w:tc>
          <w:tcPr>
            <w:tcW w:w="1276" w:type="dxa"/>
            <w:vAlign w:val="bottom"/>
          </w:tcPr>
          <w:p w14:paraId="2B206403" w14:textId="77777777" w:rsidR="00E0016F" w:rsidRPr="004C3D88" w:rsidRDefault="00C228B7"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150</w:t>
            </w:r>
          </w:p>
        </w:tc>
        <w:tc>
          <w:tcPr>
            <w:tcW w:w="1276" w:type="dxa"/>
            <w:vAlign w:val="bottom"/>
          </w:tcPr>
          <w:p w14:paraId="14A9965E" w14:textId="77777777"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150</w:t>
            </w:r>
          </w:p>
        </w:tc>
        <w:tc>
          <w:tcPr>
            <w:tcW w:w="1327" w:type="dxa"/>
            <w:vAlign w:val="bottom"/>
          </w:tcPr>
          <w:p w14:paraId="48FA4E5E" w14:textId="77777777"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150</w:t>
            </w:r>
          </w:p>
        </w:tc>
      </w:tr>
      <w:tr w:rsidR="00E0016F" w:rsidRPr="000D57BD" w14:paraId="545BB070" w14:textId="77777777" w:rsidTr="00957DF3">
        <w:trPr>
          <w:cantSplit/>
        </w:trPr>
        <w:tc>
          <w:tcPr>
            <w:tcW w:w="4768" w:type="dxa"/>
          </w:tcPr>
          <w:p w14:paraId="3E5923A9" w14:textId="77777777" w:rsidR="00E0016F" w:rsidRPr="000D57BD" w:rsidRDefault="00E0016F" w:rsidP="00E0016F">
            <w:pPr>
              <w:spacing w:after="0" w:line="240" w:lineRule="auto"/>
              <w:rPr>
                <w:rFonts w:ascii="Arial" w:eastAsia="Times New Roman" w:hAnsi="Arial"/>
                <w:color w:val="000000" w:themeColor="text1"/>
                <w:sz w:val="20"/>
                <w:szCs w:val="20"/>
              </w:rPr>
            </w:pPr>
            <w:r w:rsidRPr="000D57BD">
              <w:rPr>
                <w:rFonts w:ascii="Arial" w:eastAsia="Times New Roman" w:hAnsi="Arial"/>
                <w:color w:val="000000" w:themeColor="text1"/>
                <w:sz w:val="20"/>
                <w:szCs w:val="20"/>
              </w:rPr>
              <w:t>Energy Costs</w:t>
            </w:r>
          </w:p>
        </w:tc>
        <w:tc>
          <w:tcPr>
            <w:tcW w:w="1134" w:type="dxa"/>
            <w:vAlign w:val="bottom"/>
          </w:tcPr>
          <w:p w14:paraId="7CB9D3F9" w14:textId="77777777" w:rsidR="00E0016F" w:rsidRPr="00E0016F" w:rsidRDefault="00E0016F" w:rsidP="00E0016F">
            <w:pPr>
              <w:tabs>
                <w:tab w:val="decimal" w:pos="910"/>
              </w:tabs>
              <w:spacing w:after="0" w:line="240" w:lineRule="auto"/>
              <w:jc w:val="right"/>
              <w:rPr>
                <w:rFonts w:ascii="Arial" w:eastAsia="Times New Roman" w:hAnsi="Arial"/>
                <w:sz w:val="20"/>
                <w:szCs w:val="20"/>
              </w:rPr>
            </w:pPr>
            <w:r w:rsidRPr="00E0016F">
              <w:rPr>
                <w:rFonts w:ascii="Arial" w:eastAsia="Times New Roman" w:hAnsi="Arial"/>
                <w:sz w:val="20"/>
                <w:szCs w:val="20"/>
              </w:rPr>
              <w:t>5</w:t>
            </w:r>
            <w:r w:rsidR="009B3937">
              <w:rPr>
                <w:rFonts w:ascii="Arial" w:eastAsia="Times New Roman" w:hAnsi="Arial"/>
                <w:sz w:val="20"/>
                <w:szCs w:val="20"/>
              </w:rPr>
              <w:t>41</w:t>
            </w:r>
          </w:p>
        </w:tc>
        <w:tc>
          <w:tcPr>
            <w:tcW w:w="1276" w:type="dxa"/>
            <w:vAlign w:val="bottom"/>
          </w:tcPr>
          <w:p w14:paraId="0005DF89" w14:textId="3C43A756" w:rsidR="00E0016F" w:rsidRPr="004C3D88" w:rsidRDefault="003C3367" w:rsidP="00E0016F">
            <w:pPr>
              <w:tabs>
                <w:tab w:val="decimal" w:pos="910"/>
              </w:tabs>
              <w:spacing w:after="0" w:line="240" w:lineRule="auto"/>
              <w:jc w:val="right"/>
              <w:rPr>
                <w:rFonts w:ascii="Arial" w:eastAsia="Times New Roman" w:hAnsi="Arial"/>
                <w:color w:val="000000" w:themeColor="text1"/>
                <w:sz w:val="20"/>
                <w:szCs w:val="20"/>
              </w:rPr>
            </w:pPr>
            <w:r>
              <w:rPr>
                <w:rFonts w:ascii="Arial" w:eastAsia="Times New Roman" w:hAnsi="Arial"/>
                <w:color w:val="000000" w:themeColor="text1"/>
                <w:sz w:val="20"/>
                <w:szCs w:val="20"/>
              </w:rPr>
              <w:t>608</w:t>
            </w:r>
          </w:p>
        </w:tc>
        <w:tc>
          <w:tcPr>
            <w:tcW w:w="1276" w:type="dxa"/>
            <w:vAlign w:val="bottom"/>
          </w:tcPr>
          <w:p w14:paraId="7C5D49C8" w14:textId="722E217B" w:rsidR="00E0016F" w:rsidRPr="004C3D88" w:rsidRDefault="003C3367" w:rsidP="00E0016F">
            <w:pPr>
              <w:tabs>
                <w:tab w:val="decimal" w:pos="910"/>
              </w:tabs>
              <w:spacing w:after="0" w:line="240" w:lineRule="auto"/>
              <w:jc w:val="right"/>
              <w:rPr>
                <w:rFonts w:ascii="Arial" w:eastAsia="Times New Roman" w:hAnsi="Arial"/>
                <w:color w:val="000000" w:themeColor="text1"/>
                <w:sz w:val="20"/>
                <w:szCs w:val="20"/>
              </w:rPr>
            </w:pPr>
            <w:r>
              <w:rPr>
                <w:rFonts w:ascii="Arial" w:eastAsia="Times New Roman" w:hAnsi="Arial"/>
                <w:color w:val="000000" w:themeColor="text1"/>
                <w:sz w:val="20"/>
                <w:szCs w:val="20"/>
              </w:rPr>
              <w:t>619</w:t>
            </w:r>
          </w:p>
        </w:tc>
        <w:tc>
          <w:tcPr>
            <w:tcW w:w="1327" w:type="dxa"/>
            <w:vAlign w:val="bottom"/>
          </w:tcPr>
          <w:p w14:paraId="21E474A5" w14:textId="6AED768B" w:rsidR="00E0016F" w:rsidRPr="004C3D88" w:rsidRDefault="003C3367" w:rsidP="00E0016F">
            <w:pPr>
              <w:tabs>
                <w:tab w:val="decimal" w:pos="910"/>
              </w:tabs>
              <w:spacing w:after="0" w:line="240" w:lineRule="auto"/>
              <w:jc w:val="right"/>
              <w:rPr>
                <w:rFonts w:ascii="Arial" w:eastAsia="Times New Roman" w:hAnsi="Arial"/>
                <w:color w:val="000000" w:themeColor="text1"/>
                <w:sz w:val="20"/>
                <w:szCs w:val="20"/>
              </w:rPr>
            </w:pPr>
            <w:r>
              <w:rPr>
                <w:rFonts w:ascii="Arial" w:eastAsia="Times New Roman" w:hAnsi="Arial"/>
                <w:color w:val="000000" w:themeColor="text1"/>
                <w:sz w:val="20"/>
                <w:szCs w:val="20"/>
              </w:rPr>
              <w:t>630</w:t>
            </w:r>
          </w:p>
        </w:tc>
      </w:tr>
      <w:tr w:rsidR="00E0016F" w:rsidRPr="000D57BD" w14:paraId="2B10EBA4" w14:textId="77777777" w:rsidTr="00957DF3">
        <w:trPr>
          <w:cantSplit/>
        </w:trPr>
        <w:tc>
          <w:tcPr>
            <w:tcW w:w="4768" w:type="dxa"/>
          </w:tcPr>
          <w:p w14:paraId="5C8C9200" w14:textId="77777777" w:rsidR="00E0016F" w:rsidRPr="000D57BD" w:rsidRDefault="00E0016F" w:rsidP="00E0016F">
            <w:pPr>
              <w:spacing w:after="0" w:line="240" w:lineRule="auto"/>
              <w:rPr>
                <w:rFonts w:ascii="Arial" w:eastAsia="Times New Roman" w:hAnsi="Arial"/>
                <w:color w:val="000000" w:themeColor="text1"/>
                <w:sz w:val="20"/>
                <w:szCs w:val="20"/>
              </w:rPr>
            </w:pPr>
            <w:r w:rsidRPr="000D57BD">
              <w:rPr>
                <w:rFonts w:ascii="Arial" w:eastAsia="Times New Roman" w:hAnsi="Arial"/>
                <w:color w:val="000000" w:themeColor="text1"/>
                <w:sz w:val="20"/>
                <w:szCs w:val="20"/>
              </w:rPr>
              <w:t>Fixtures and Fittings</w:t>
            </w:r>
          </w:p>
        </w:tc>
        <w:tc>
          <w:tcPr>
            <w:tcW w:w="1134" w:type="dxa"/>
            <w:vAlign w:val="bottom"/>
          </w:tcPr>
          <w:p w14:paraId="17C9F79F" w14:textId="77777777" w:rsidR="00E0016F" w:rsidRPr="00E0016F" w:rsidRDefault="00E0016F" w:rsidP="00E0016F">
            <w:pPr>
              <w:tabs>
                <w:tab w:val="decimal" w:pos="910"/>
              </w:tabs>
              <w:spacing w:after="0" w:line="240" w:lineRule="auto"/>
              <w:jc w:val="right"/>
              <w:rPr>
                <w:rFonts w:ascii="Arial" w:eastAsia="Times New Roman" w:hAnsi="Arial"/>
                <w:sz w:val="20"/>
                <w:szCs w:val="20"/>
              </w:rPr>
            </w:pPr>
            <w:r w:rsidRPr="00E0016F">
              <w:rPr>
                <w:rFonts w:ascii="Arial" w:eastAsia="Times New Roman" w:hAnsi="Arial"/>
                <w:sz w:val="20"/>
                <w:szCs w:val="20"/>
              </w:rPr>
              <w:t>2</w:t>
            </w:r>
            <w:r w:rsidR="009B3937">
              <w:rPr>
                <w:rFonts w:ascii="Arial" w:eastAsia="Times New Roman" w:hAnsi="Arial"/>
                <w:sz w:val="20"/>
                <w:szCs w:val="20"/>
              </w:rPr>
              <w:t>5</w:t>
            </w:r>
          </w:p>
        </w:tc>
        <w:tc>
          <w:tcPr>
            <w:tcW w:w="1276" w:type="dxa"/>
            <w:vAlign w:val="bottom"/>
          </w:tcPr>
          <w:p w14:paraId="3A2D5EA3" w14:textId="77777777" w:rsidR="00E0016F" w:rsidRPr="004C3D88" w:rsidRDefault="00C228B7"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25</w:t>
            </w:r>
          </w:p>
        </w:tc>
        <w:tc>
          <w:tcPr>
            <w:tcW w:w="1276" w:type="dxa"/>
            <w:vAlign w:val="bottom"/>
          </w:tcPr>
          <w:p w14:paraId="79945ED0" w14:textId="77777777"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25</w:t>
            </w:r>
          </w:p>
        </w:tc>
        <w:tc>
          <w:tcPr>
            <w:tcW w:w="1327" w:type="dxa"/>
            <w:vAlign w:val="bottom"/>
          </w:tcPr>
          <w:p w14:paraId="4C065C54" w14:textId="77777777"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25</w:t>
            </w:r>
          </w:p>
        </w:tc>
      </w:tr>
      <w:tr w:rsidR="00E0016F" w:rsidRPr="000D57BD" w14:paraId="27529CA5" w14:textId="77777777" w:rsidTr="00957DF3">
        <w:trPr>
          <w:cantSplit/>
        </w:trPr>
        <w:tc>
          <w:tcPr>
            <w:tcW w:w="4768" w:type="dxa"/>
          </w:tcPr>
          <w:p w14:paraId="432CC659" w14:textId="77777777" w:rsidR="00E0016F" w:rsidRPr="000D57BD" w:rsidRDefault="00E0016F" w:rsidP="00E0016F">
            <w:pPr>
              <w:spacing w:after="0" w:line="240" w:lineRule="auto"/>
              <w:rPr>
                <w:rFonts w:ascii="Arial" w:eastAsia="Times New Roman" w:hAnsi="Arial"/>
                <w:color w:val="000000" w:themeColor="text1"/>
                <w:sz w:val="20"/>
                <w:szCs w:val="20"/>
              </w:rPr>
            </w:pPr>
            <w:r w:rsidRPr="000D57BD">
              <w:rPr>
                <w:rFonts w:ascii="Arial" w:eastAsia="Times New Roman" w:hAnsi="Arial"/>
                <w:color w:val="000000" w:themeColor="text1"/>
                <w:sz w:val="20"/>
                <w:szCs w:val="20"/>
              </w:rPr>
              <w:t>Cleaning Costs</w:t>
            </w:r>
          </w:p>
        </w:tc>
        <w:tc>
          <w:tcPr>
            <w:tcW w:w="1134" w:type="dxa"/>
            <w:vAlign w:val="bottom"/>
          </w:tcPr>
          <w:p w14:paraId="27C22105" w14:textId="77777777" w:rsidR="00E0016F" w:rsidRPr="00E0016F" w:rsidRDefault="00E0016F" w:rsidP="00E0016F">
            <w:pPr>
              <w:tabs>
                <w:tab w:val="decimal" w:pos="910"/>
              </w:tabs>
              <w:spacing w:after="0" w:line="240" w:lineRule="auto"/>
              <w:jc w:val="right"/>
              <w:rPr>
                <w:rFonts w:ascii="Arial" w:eastAsia="Times New Roman" w:hAnsi="Arial"/>
                <w:sz w:val="20"/>
                <w:szCs w:val="20"/>
              </w:rPr>
            </w:pPr>
            <w:r w:rsidRPr="00E0016F">
              <w:rPr>
                <w:rFonts w:ascii="Arial" w:eastAsia="Times New Roman" w:hAnsi="Arial"/>
                <w:sz w:val="20"/>
                <w:szCs w:val="20"/>
              </w:rPr>
              <w:t>24</w:t>
            </w:r>
          </w:p>
        </w:tc>
        <w:tc>
          <w:tcPr>
            <w:tcW w:w="1276" w:type="dxa"/>
            <w:vAlign w:val="bottom"/>
          </w:tcPr>
          <w:p w14:paraId="5D798ABE" w14:textId="77777777" w:rsidR="00E0016F" w:rsidRPr="004C3D88" w:rsidRDefault="00C228B7"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24</w:t>
            </w:r>
          </w:p>
        </w:tc>
        <w:tc>
          <w:tcPr>
            <w:tcW w:w="1276" w:type="dxa"/>
            <w:vAlign w:val="bottom"/>
          </w:tcPr>
          <w:p w14:paraId="1ACC7145" w14:textId="77777777"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24</w:t>
            </w:r>
          </w:p>
        </w:tc>
        <w:tc>
          <w:tcPr>
            <w:tcW w:w="1327" w:type="dxa"/>
            <w:vAlign w:val="bottom"/>
          </w:tcPr>
          <w:p w14:paraId="30221A2A" w14:textId="77777777"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24</w:t>
            </w:r>
          </w:p>
        </w:tc>
      </w:tr>
      <w:tr w:rsidR="00E0016F" w:rsidRPr="000D57BD" w14:paraId="1DA4A51F" w14:textId="77777777" w:rsidTr="00957DF3">
        <w:trPr>
          <w:cantSplit/>
        </w:trPr>
        <w:tc>
          <w:tcPr>
            <w:tcW w:w="4768" w:type="dxa"/>
          </w:tcPr>
          <w:p w14:paraId="27502230" w14:textId="77777777" w:rsidR="00E0016F" w:rsidRPr="000D57BD" w:rsidRDefault="00E0016F" w:rsidP="00E0016F">
            <w:pPr>
              <w:spacing w:after="0" w:line="240" w:lineRule="auto"/>
              <w:rPr>
                <w:rFonts w:ascii="Arial" w:eastAsia="Times New Roman" w:hAnsi="Arial"/>
                <w:color w:val="000000" w:themeColor="text1"/>
                <w:sz w:val="20"/>
                <w:szCs w:val="20"/>
              </w:rPr>
            </w:pPr>
            <w:r w:rsidRPr="000D57BD">
              <w:rPr>
                <w:rFonts w:ascii="Arial" w:eastAsia="Times New Roman" w:hAnsi="Arial"/>
                <w:color w:val="000000" w:themeColor="text1"/>
                <w:sz w:val="20"/>
                <w:szCs w:val="20"/>
              </w:rPr>
              <w:t>Lost Rents and Bad Debts</w:t>
            </w:r>
          </w:p>
        </w:tc>
        <w:tc>
          <w:tcPr>
            <w:tcW w:w="1134" w:type="dxa"/>
            <w:vAlign w:val="bottom"/>
          </w:tcPr>
          <w:p w14:paraId="483C4069" w14:textId="77777777" w:rsidR="00E0016F" w:rsidRPr="00E0016F" w:rsidRDefault="00E0016F" w:rsidP="00E0016F">
            <w:pPr>
              <w:tabs>
                <w:tab w:val="decimal" w:pos="910"/>
              </w:tabs>
              <w:spacing w:after="0" w:line="240" w:lineRule="auto"/>
              <w:jc w:val="right"/>
              <w:rPr>
                <w:rFonts w:ascii="Arial" w:eastAsia="Times New Roman" w:hAnsi="Arial"/>
                <w:sz w:val="20"/>
                <w:szCs w:val="20"/>
              </w:rPr>
            </w:pPr>
            <w:r w:rsidRPr="00E0016F">
              <w:rPr>
                <w:rFonts w:ascii="Arial" w:eastAsia="Times New Roman" w:hAnsi="Arial"/>
                <w:sz w:val="20"/>
                <w:szCs w:val="20"/>
              </w:rPr>
              <w:t>2,0</w:t>
            </w:r>
            <w:r w:rsidR="009B3937">
              <w:rPr>
                <w:rFonts w:ascii="Arial" w:eastAsia="Times New Roman" w:hAnsi="Arial"/>
                <w:sz w:val="20"/>
                <w:szCs w:val="20"/>
              </w:rPr>
              <w:t>23</w:t>
            </w:r>
          </w:p>
        </w:tc>
        <w:tc>
          <w:tcPr>
            <w:tcW w:w="1276" w:type="dxa"/>
            <w:vAlign w:val="bottom"/>
          </w:tcPr>
          <w:p w14:paraId="4A7FE618" w14:textId="77777777" w:rsidR="00E0016F" w:rsidRPr="004C3D88" w:rsidRDefault="00C228B7"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2,</w:t>
            </w:r>
            <w:r w:rsidR="009B3937">
              <w:rPr>
                <w:rFonts w:ascii="Arial" w:eastAsia="Times New Roman" w:hAnsi="Arial"/>
                <w:color w:val="000000" w:themeColor="text1"/>
                <w:sz w:val="20"/>
                <w:szCs w:val="20"/>
              </w:rPr>
              <w:t>235</w:t>
            </w:r>
          </w:p>
        </w:tc>
        <w:tc>
          <w:tcPr>
            <w:tcW w:w="1276" w:type="dxa"/>
            <w:vAlign w:val="bottom"/>
          </w:tcPr>
          <w:p w14:paraId="27AAFA6A" w14:textId="77777777"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2,</w:t>
            </w:r>
            <w:r w:rsidR="005B0D7C">
              <w:rPr>
                <w:rFonts w:ascii="Arial" w:eastAsia="Times New Roman" w:hAnsi="Arial"/>
                <w:color w:val="000000" w:themeColor="text1"/>
                <w:sz w:val="20"/>
                <w:szCs w:val="20"/>
              </w:rPr>
              <w:t>280</w:t>
            </w:r>
          </w:p>
        </w:tc>
        <w:tc>
          <w:tcPr>
            <w:tcW w:w="1327" w:type="dxa"/>
            <w:vAlign w:val="bottom"/>
          </w:tcPr>
          <w:p w14:paraId="65558A39" w14:textId="77777777"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2,</w:t>
            </w:r>
            <w:r w:rsidR="005B0D7C">
              <w:rPr>
                <w:rFonts w:ascii="Arial" w:eastAsia="Times New Roman" w:hAnsi="Arial"/>
                <w:color w:val="000000" w:themeColor="text1"/>
                <w:sz w:val="20"/>
                <w:szCs w:val="20"/>
              </w:rPr>
              <w:t>326</w:t>
            </w:r>
          </w:p>
        </w:tc>
      </w:tr>
      <w:tr w:rsidR="00C228B7" w:rsidRPr="000D57BD" w14:paraId="5E042AEF" w14:textId="77777777" w:rsidTr="00957DF3">
        <w:trPr>
          <w:cantSplit/>
        </w:trPr>
        <w:tc>
          <w:tcPr>
            <w:tcW w:w="4768" w:type="dxa"/>
          </w:tcPr>
          <w:p w14:paraId="505F45C4" w14:textId="77777777" w:rsidR="00C228B7" w:rsidRPr="000D57BD" w:rsidRDefault="00C228B7" w:rsidP="00E0016F">
            <w:pPr>
              <w:spacing w:after="0" w:line="240" w:lineRule="auto"/>
              <w:rPr>
                <w:rFonts w:ascii="Arial" w:eastAsia="Times New Roman" w:hAnsi="Arial"/>
                <w:color w:val="000000" w:themeColor="text1"/>
                <w:sz w:val="20"/>
                <w:szCs w:val="20"/>
              </w:rPr>
            </w:pPr>
            <w:r w:rsidRPr="00C228B7">
              <w:rPr>
                <w:rFonts w:ascii="Arial" w:eastAsia="Times New Roman" w:hAnsi="Arial"/>
                <w:color w:val="000000" w:themeColor="text1"/>
                <w:sz w:val="20"/>
                <w:szCs w:val="20"/>
              </w:rPr>
              <w:t>Open Space and Garden Maintenance</w:t>
            </w:r>
          </w:p>
        </w:tc>
        <w:tc>
          <w:tcPr>
            <w:tcW w:w="1134" w:type="dxa"/>
            <w:vAlign w:val="bottom"/>
          </w:tcPr>
          <w:p w14:paraId="7204502F" w14:textId="77777777" w:rsidR="00C228B7" w:rsidRPr="00C228B7" w:rsidRDefault="00C228B7" w:rsidP="00E0016F">
            <w:pPr>
              <w:tabs>
                <w:tab w:val="decimal" w:pos="910"/>
              </w:tabs>
              <w:spacing w:after="0" w:line="240" w:lineRule="auto"/>
              <w:jc w:val="right"/>
              <w:rPr>
                <w:rFonts w:ascii="Arial" w:eastAsia="Times New Roman" w:hAnsi="Arial"/>
                <w:sz w:val="20"/>
                <w:szCs w:val="20"/>
                <w:u w:val="single"/>
              </w:rPr>
            </w:pPr>
            <w:r w:rsidRPr="00C228B7">
              <w:rPr>
                <w:rFonts w:ascii="Arial" w:eastAsia="Times New Roman" w:hAnsi="Arial"/>
                <w:sz w:val="20"/>
                <w:szCs w:val="20"/>
                <w:u w:val="single"/>
              </w:rPr>
              <w:t>2,</w:t>
            </w:r>
            <w:r w:rsidR="009B3937">
              <w:rPr>
                <w:rFonts w:ascii="Arial" w:eastAsia="Times New Roman" w:hAnsi="Arial"/>
                <w:sz w:val="20"/>
                <w:szCs w:val="20"/>
                <w:u w:val="single"/>
              </w:rPr>
              <w:t>208</w:t>
            </w:r>
          </w:p>
        </w:tc>
        <w:tc>
          <w:tcPr>
            <w:tcW w:w="1276" w:type="dxa"/>
            <w:vAlign w:val="bottom"/>
          </w:tcPr>
          <w:p w14:paraId="2A850F11" w14:textId="77777777" w:rsidR="00C228B7" w:rsidRPr="004C3D88" w:rsidRDefault="00C228B7" w:rsidP="00E0016F">
            <w:pPr>
              <w:tabs>
                <w:tab w:val="decimal" w:pos="910"/>
              </w:tabs>
              <w:spacing w:after="0" w:line="240" w:lineRule="auto"/>
              <w:jc w:val="right"/>
              <w:rPr>
                <w:rFonts w:ascii="Arial" w:eastAsia="Times New Roman" w:hAnsi="Arial"/>
                <w:color w:val="000000" w:themeColor="text1"/>
                <w:sz w:val="20"/>
                <w:szCs w:val="20"/>
                <w:u w:val="single"/>
              </w:rPr>
            </w:pPr>
            <w:r w:rsidRPr="004C3D88">
              <w:rPr>
                <w:rFonts w:ascii="Arial" w:eastAsia="Times New Roman" w:hAnsi="Arial"/>
                <w:color w:val="000000" w:themeColor="text1"/>
                <w:sz w:val="20"/>
                <w:szCs w:val="20"/>
                <w:u w:val="single"/>
              </w:rPr>
              <w:t>2,</w:t>
            </w:r>
            <w:r w:rsidR="009B3937">
              <w:rPr>
                <w:rFonts w:ascii="Arial" w:eastAsia="Times New Roman" w:hAnsi="Arial"/>
                <w:color w:val="000000" w:themeColor="text1"/>
                <w:sz w:val="20"/>
                <w:szCs w:val="20"/>
                <w:u w:val="single"/>
              </w:rPr>
              <w:t>319</w:t>
            </w:r>
          </w:p>
        </w:tc>
        <w:tc>
          <w:tcPr>
            <w:tcW w:w="1276" w:type="dxa"/>
            <w:vAlign w:val="bottom"/>
          </w:tcPr>
          <w:p w14:paraId="4D9FB98B" w14:textId="77777777" w:rsidR="00C228B7" w:rsidRPr="004C3D88" w:rsidRDefault="004C3D88" w:rsidP="00E0016F">
            <w:pPr>
              <w:tabs>
                <w:tab w:val="decimal" w:pos="910"/>
              </w:tabs>
              <w:spacing w:after="0" w:line="240" w:lineRule="auto"/>
              <w:jc w:val="right"/>
              <w:rPr>
                <w:rFonts w:ascii="Arial" w:eastAsia="Times New Roman" w:hAnsi="Arial"/>
                <w:color w:val="000000" w:themeColor="text1"/>
                <w:sz w:val="20"/>
                <w:szCs w:val="20"/>
                <w:u w:val="single"/>
              </w:rPr>
            </w:pPr>
            <w:r w:rsidRPr="004C3D88">
              <w:rPr>
                <w:rFonts w:ascii="Arial" w:eastAsia="Times New Roman" w:hAnsi="Arial"/>
                <w:color w:val="000000" w:themeColor="text1"/>
                <w:sz w:val="20"/>
                <w:szCs w:val="20"/>
                <w:u w:val="single"/>
              </w:rPr>
              <w:t>2,</w:t>
            </w:r>
            <w:r w:rsidR="005B0D7C">
              <w:rPr>
                <w:rFonts w:ascii="Arial" w:eastAsia="Times New Roman" w:hAnsi="Arial"/>
                <w:color w:val="000000" w:themeColor="text1"/>
                <w:sz w:val="20"/>
                <w:szCs w:val="20"/>
                <w:u w:val="single"/>
              </w:rPr>
              <w:t>365</w:t>
            </w:r>
          </w:p>
        </w:tc>
        <w:tc>
          <w:tcPr>
            <w:tcW w:w="1327" w:type="dxa"/>
            <w:vAlign w:val="bottom"/>
          </w:tcPr>
          <w:p w14:paraId="039DF672" w14:textId="77777777" w:rsidR="00C228B7" w:rsidRPr="004C3D88" w:rsidRDefault="004C3D88" w:rsidP="00E0016F">
            <w:pPr>
              <w:tabs>
                <w:tab w:val="decimal" w:pos="910"/>
              </w:tabs>
              <w:spacing w:after="0" w:line="240" w:lineRule="auto"/>
              <w:jc w:val="right"/>
              <w:rPr>
                <w:rFonts w:ascii="Arial" w:eastAsia="Times New Roman" w:hAnsi="Arial"/>
                <w:color w:val="000000" w:themeColor="text1"/>
                <w:sz w:val="20"/>
                <w:szCs w:val="20"/>
                <w:u w:val="single"/>
              </w:rPr>
            </w:pPr>
            <w:r w:rsidRPr="004C3D88">
              <w:rPr>
                <w:rFonts w:ascii="Arial" w:eastAsia="Times New Roman" w:hAnsi="Arial"/>
                <w:color w:val="000000" w:themeColor="text1"/>
                <w:sz w:val="20"/>
                <w:szCs w:val="20"/>
                <w:u w:val="single"/>
              </w:rPr>
              <w:t>2,</w:t>
            </w:r>
            <w:r w:rsidR="005B0D7C">
              <w:rPr>
                <w:rFonts w:ascii="Arial" w:eastAsia="Times New Roman" w:hAnsi="Arial"/>
                <w:color w:val="000000" w:themeColor="text1"/>
                <w:sz w:val="20"/>
                <w:szCs w:val="20"/>
                <w:u w:val="single"/>
              </w:rPr>
              <w:t>413</w:t>
            </w:r>
          </w:p>
        </w:tc>
      </w:tr>
      <w:tr w:rsidR="00C228B7" w:rsidRPr="000D57BD" w14:paraId="713570A1" w14:textId="77777777" w:rsidTr="00957DF3">
        <w:trPr>
          <w:cantSplit/>
        </w:trPr>
        <w:tc>
          <w:tcPr>
            <w:tcW w:w="4768" w:type="dxa"/>
          </w:tcPr>
          <w:p w14:paraId="60F00384" w14:textId="77777777" w:rsidR="00C228B7" w:rsidRPr="000D57BD" w:rsidRDefault="00C228B7" w:rsidP="00E0016F">
            <w:pPr>
              <w:spacing w:after="0" w:line="240" w:lineRule="auto"/>
              <w:rPr>
                <w:rFonts w:ascii="Arial" w:eastAsia="Times New Roman" w:hAnsi="Arial"/>
                <w:color w:val="000000" w:themeColor="text1"/>
                <w:sz w:val="20"/>
                <w:szCs w:val="20"/>
              </w:rPr>
            </w:pPr>
            <w:r w:rsidRPr="000D57BD">
              <w:rPr>
                <w:rFonts w:ascii="Arial" w:eastAsia="Times New Roman" w:hAnsi="Arial"/>
                <w:b/>
                <w:color w:val="000000" w:themeColor="text1"/>
                <w:sz w:val="20"/>
                <w:szCs w:val="20"/>
              </w:rPr>
              <w:t>TOTAL PROPERTY COSTS</w:t>
            </w:r>
          </w:p>
        </w:tc>
        <w:tc>
          <w:tcPr>
            <w:tcW w:w="1134" w:type="dxa"/>
            <w:vAlign w:val="bottom"/>
          </w:tcPr>
          <w:p w14:paraId="72C3BFFC" w14:textId="77777777" w:rsidR="00C228B7" w:rsidRPr="00C228B7" w:rsidRDefault="00C228B7" w:rsidP="00E0016F">
            <w:pPr>
              <w:tabs>
                <w:tab w:val="decimal" w:pos="910"/>
              </w:tabs>
              <w:spacing w:after="0" w:line="240" w:lineRule="auto"/>
              <w:jc w:val="right"/>
              <w:rPr>
                <w:rFonts w:ascii="Arial" w:eastAsia="Times New Roman" w:hAnsi="Arial"/>
                <w:sz w:val="20"/>
                <w:szCs w:val="20"/>
                <w:u w:val="single"/>
              </w:rPr>
            </w:pPr>
            <w:r w:rsidRPr="00C228B7">
              <w:rPr>
                <w:rFonts w:ascii="Arial" w:eastAsia="Times New Roman" w:hAnsi="Arial"/>
                <w:sz w:val="20"/>
                <w:szCs w:val="20"/>
                <w:u w:val="single"/>
              </w:rPr>
              <w:t>17,</w:t>
            </w:r>
            <w:r w:rsidR="009B3937">
              <w:rPr>
                <w:rFonts w:ascii="Arial" w:eastAsia="Times New Roman" w:hAnsi="Arial"/>
                <w:sz w:val="20"/>
                <w:szCs w:val="20"/>
                <w:u w:val="single"/>
              </w:rPr>
              <w:t>919</w:t>
            </w:r>
          </w:p>
        </w:tc>
        <w:tc>
          <w:tcPr>
            <w:tcW w:w="1276" w:type="dxa"/>
            <w:vAlign w:val="bottom"/>
          </w:tcPr>
          <w:p w14:paraId="5AA90900" w14:textId="2D8341F3" w:rsidR="00C228B7" w:rsidRPr="004C3D88" w:rsidRDefault="00C228B7" w:rsidP="00E0016F">
            <w:pPr>
              <w:tabs>
                <w:tab w:val="decimal" w:pos="910"/>
              </w:tabs>
              <w:spacing w:after="0" w:line="240" w:lineRule="auto"/>
              <w:jc w:val="right"/>
              <w:rPr>
                <w:rFonts w:ascii="Arial" w:eastAsia="Times New Roman" w:hAnsi="Arial"/>
                <w:color w:val="000000" w:themeColor="text1"/>
                <w:sz w:val="20"/>
                <w:szCs w:val="20"/>
                <w:u w:val="single"/>
              </w:rPr>
            </w:pPr>
            <w:r w:rsidRPr="004C3D88">
              <w:rPr>
                <w:rFonts w:ascii="Arial" w:eastAsia="Times New Roman" w:hAnsi="Arial"/>
                <w:color w:val="000000" w:themeColor="text1"/>
                <w:sz w:val="20"/>
                <w:szCs w:val="20"/>
                <w:u w:val="single"/>
              </w:rPr>
              <w:t>1</w:t>
            </w:r>
            <w:r w:rsidR="009B3937">
              <w:rPr>
                <w:rFonts w:ascii="Arial" w:eastAsia="Times New Roman" w:hAnsi="Arial"/>
                <w:color w:val="000000" w:themeColor="text1"/>
                <w:sz w:val="20"/>
                <w:szCs w:val="20"/>
                <w:u w:val="single"/>
              </w:rPr>
              <w:t>8,</w:t>
            </w:r>
            <w:r w:rsidR="003C3367">
              <w:rPr>
                <w:rFonts w:ascii="Arial" w:eastAsia="Times New Roman" w:hAnsi="Arial"/>
                <w:color w:val="000000" w:themeColor="text1"/>
                <w:sz w:val="20"/>
                <w:szCs w:val="20"/>
                <w:u w:val="single"/>
              </w:rPr>
              <w:t>443</w:t>
            </w:r>
          </w:p>
        </w:tc>
        <w:tc>
          <w:tcPr>
            <w:tcW w:w="1276" w:type="dxa"/>
            <w:vAlign w:val="bottom"/>
          </w:tcPr>
          <w:p w14:paraId="21CB38EB" w14:textId="372B9E0D" w:rsidR="00C228B7" w:rsidRPr="004C3D88" w:rsidRDefault="004C3D88" w:rsidP="00E0016F">
            <w:pPr>
              <w:tabs>
                <w:tab w:val="decimal" w:pos="910"/>
              </w:tabs>
              <w:spacing w:after="0" w:line="240" w:lineRule="auto"/>
              <w:jc w:val="right"/>
              <w:rPr>
                <w:rFonts w:ascii="Arial" w:eastAsia="Times New Roman" w:hAnsi="Arial"/>
                <w:color w:val="000000" w:themeColor="text1"/>
                <w:sz w:val="20"/>
                <w:szCs w:val="20"/>
                <w:u w:val="single"/>
              </w:rPr>
            </w:pPr>
            <w:r w:rsidRPr="004C3D88">
              <w:rPr>
                <w:rFonts w:ascii="Arial" w:eastAsia="Times New Roman" w:hAnsi="Arial"/>
                <w:color w:val="000000" w:themeColor="text1"/>
                <w:sz w:val="20"/>
                <w:szCs w:val="20"/>
                <w:u w:val="single"/>
              </w:rPr>
              <w:t>18,</w:t>
            </w:r>
            <w:r w:rsidR="003C3367">
              <w:rPr>
                <w:rFonts w:ascii="Arial" w:eastAsia="Times New Roman" w:hAnsi="Arial"/>
                <w:color w:val="000000" w:themeColor="text1"/>
                <w:sz w:val="20"/>
                <w:szCs w:val="20"/>
                <w:u w:val="single"/>
              </w:rPr>
              <w:t>792</w:t>
            </w:r>
          </w:p>
        </w:tc>
        <w:tc>
          <w:tcPr>
            <w:tcW w:w="1327" w:type="dxa"/>
            <w:vAlign w:val="bottom"/>
          </w:tcPr>
          <w:p w14:paraId="0C5342C6" w14:textId="6648F464" w:rsidR="00C228B7" w:rsidRPr="004C3D88" w:rsidRDefault="004C3D88" w:rsidP="00E0016F">
            <w:pPr>
              <w:tabs>
                <w:tab w:val="decimal" w:pos="910"/>
              </w:tabs>
              <w:spacing w:after="0" w:line="240" w:lineRule="auto"/>
              <w:jc w:val="right"/>
              <w:rPr>
                <w:rFonts w:ascii="Arial" w:eastAsia="Times New Roman" w:hAnsi="Arial"/>
                <w:color w:val="000000" w:themeColor="text1"/>
                <w:sz w:val="20"/>
                <w:szCs w:val="20"/>
                <w:u w:val="single"/>
              </w:rPr>
            </w:pPr>
            <w:r w:rsidRPr="004C3D88">
              <w:rPr>
                <w:rFonts w:ascii="Arial" w:eastAsia="Times New Roman" w:hAnsi="Arial"/>
                <w:color w:val="000000" w:themeColor="text1"/>
                <w:sz w:val="20"/>
                <w:szCs w:val="20"/>
                <w:u w:val="single"/>
              </w:rPr>
              <w:t>1</w:t>
            </w:r>
            <w:r w:rsidR="005B0D7C">
              <w:rPr>
                <w:rFonts w:ascii="Arial" w:eastAsia="Times New Roman" w:hAnsi="Arial"/>
                <w:color w:val="000000" w:themeColor="text1"/>
                <w:sz w:val="20"/>
                <w:szCs w:val="20"/>
                <w:u w:val="single"/>
              </w:rPr>
              <w:t>9,</w:t>
            </w:r>
            <w:r w:rsidR="003C3367">
              <w:rPr>
                <w:rFonts w:ascii="Arial" w:eastAsia="Times New Roman" w:hAnsi="Arial"/>
                <w:color w:val="000000" w:themeColor="text1"/>
                <w:sz w:val="20"/>
                <w:szCs w:val="20"/>
                <w:u w:val="single"/>
              </w:rPr>
              <w:t>148</w:t>
            </w:r>
          </w:p>
        </w:tc>
      </w:tr>
      <w:tr w:rsidR="00E0016F" w:rsidRPr="000D57BD" w14:paraId="70D5F348" w14:textId="77777777" w:rsidTr="00ED1ED6">
        <w:trPr>
          <w:cantSplit/>
          <w:trHeight w:val="317"/>
        </w:trPr>
        <w:tc>
          <w:tcPr>
            <w:tcW w:w="4768" w:type="dxa"/>
          </w:tcPr>
          <w:p w14:paraId="2A2ED45D" w14:textId="77777777" w:rsidR="00E0016F" w:rsidRPr="000D57BD" w:rsidRDefault="00E0016F" w:rsidP="00E0016F">
            <w:pPr>
              <w:spacing w:after="0" w:line="240" w:lineRule="auto"/>
              <w:rPr>
                <w:rFonts w:ascii="Arial" w:eastAsia="Times New Roman" w:hAnsi="Arial"/>
                <w:color w:val="000000" w:themeColor="text1"/>
                <w:sz w:val="20"/>
                <w:szCs w:val="20"/>
              </w:rPr>
            </w:pPr>
          </w:p>
        </w:tc>
        <w:tc>
          <w:tcPr>
            <w:tcW w:w="1134" w:type="dxa"/>
            <w:vAlign w:val="bottom"/>
          </w:tcPr>
          <w:p w14:paraId="6195C1A2" w14:textId="77777777" w:rsidR="00E0016F" w:rsidRPr="00E0016F" w:rsidRDefault="00E0016F" w:rsidP="00E0016F">
            <w:pPr>
              <w:tabs>
                <w:tab w:val="decimal" w:pos="910"/>
              </w:tabs>
              <w:spacing w:after="0" w:line="240" w:lineRule="auto"/>
              <w:jc w:val="right"/>
              <w:rPr>
                <w:rFonts w:ascii="Arial" w:eastAsia="Times New Roman" w:hAnsi="Arial"/>
                <w:sz w:val="20"/>
                <w:szCs w:val="20"/>
                <w:u w:val="single"/>
              </w:rPr>
            </w:pPr>
          </w:p>
        </w:tc>
        <w:tc>
          <w:tcPr>
            <w:tcW w:w="1276" w:type="dxa"/>
            <w:vAlign w:val="bottom"/>
          </w:tcPr>
          <w:p w14:paraId="4932597D" w14:textId="77777777" w:rsidR="00E0016F" w:rsidRPr="004C3D88" w:rsidRDefault="00E0016F" w:rsidP="00E0016F">
            <w:pPr>
              <w:tabs>
                <w:tab w:val="decimal" w:pos="910"/>
              </w:tabs>
              <w:spacing w:after="0" w:line="240" w:lineRule="auto"/>
              <w:jc w:val="right"/>
              <w:rPr>
                <w:rFonts w:ascii="Arial" w:eastAsia="Times New Roman" w:hAnsi="Arial"/>
                <w:color w:val="000000" w:themeColor="text1"/>
                <w:sz w:val="20"/>
                <w:szCs w:val="20"/>
                <w:u w:val="single"/>
              </w:rPr>
            </w:pPr>
          </w:p>
        </w:tc>
        <w:tc>
          <w:tcPr>
            <w:tcW w:w="1276" w:type="dxa"/>
            <w:vAlign w:val="bottom"/>
          </w:tcPr>
          <w:p w14:paraId="2B9FF0FF" w14:textId="77777777" w:rsidR="00E0016F" w:rsidRPr="004C3D88" w:rsidRDefault="00E0016F" w:rsidP="00E0016F">
            <w:pPr>
              <w:tabs>
                <w:tab w:val="decimal" w:pos="910"/>
              </w:tabs>
              <w:spacing w:after="0" w:line="240" w:lineRule="auto"/>
              <w:jc w:val="right"/>
              <w:rPr>
                <w:rFonts w:ascii="Arial" w:eastAsia="Times New Roman" w:hAnsi="Arial"/>
                <w:color w:val="000000" w:themeColor="text1"/>
                <w:sz w:val="20"/>
                <w:szCs w:val="20"/>
                <w:u w:val="single"/>
              </w:rPr>
            </w:pPr>
          </w:p>
        </w:tc>
        <w:tc>
          <w:tcPr>
            <w:tcW w:w="1327" w:type="dxa"/>
            <w:vAlign w:val="bottom"/>
          </w:tcPr>
          <w:p w14:paraId="31ED1F49" w14:textId="77777777" w:rsidR="00E0016F" w:rsidRPr="004C3D88" w:rsidRDefault="00E0016F" w:rsidP="004C3D88">
            <w:pPr>
              <w:tabs>
                <w:tab w:val="decimal" w:pos="910"/>
              </w:tabs>
              <w:spacing w:after="0" w:line="240" w:lineRule="auto"/>
              <w:jc w:val="right"/>
              <w:rPr>
                <w:rFonts w:ascii="Arial" w:eastAsia="Times New Roman" w:hAnsi="Arial"/>
                <w:color w:val="000000" w:themeColor="text1"/>
                <w:sz w:val="20"/>
                <w:szCs w:val="20"/>
              </w:rPr>
            </w:pPr>
          </w:p>
        </w:tc>
      </w:tr>
      <w:tr w:rsidR="00E0016F" w:rsidRPr="000D57BD" w14:paraId="196D8F38" w14:textId="77777777" w:rsidTr="004A52D7">
        <w:trPr>
          <w:cantSplit/>
        </w:trPr>
        <w:tc>
          <w:tcPr>
            <w:tcW w:w="4768" w:type="dxa"/>
          </w:tcPr>
          <w:p w14:paraId="5AE30119" w14:textId="77777777" w:rsidR="00E0016F" w:rsidRPr="000D57BD" w:rsidRDefault="00E0016F" w:rsidP="00E0016F">
            <w:pPr>
              <w:spacing w:after="0" w:line="240" w:lineRule="auto"/>
              <w:rPr>
                <w:rFonts w:ascii="Arial" w:eastAsia="Times New Roman" w:hAnsi="Arial"/>
                <w:color w:val="000000" w:themeColor="text1"/>
                <w:sz w:val="20"/>
                <w:szCs w:val="20"/>
              </w:rPr>
            </w:pPr>
            <w:r w:rsidRPr="000D57BD">
              <w:rPr>
                <w:rFonts w:ascii="Arial" w:eastAsia="Times New Roman" w:hAnsi="Arial"/>
                <w:b/>
                <w:color w:val="000000" w:themeColor="text1"/>
                <w:sz w:val="20"/>
                <w:szCs w:val="20"/>
              </w:rPr>
              <w:t>SUPPLIES &amp; SERVICES</w:t>
            </w:r>
          </w:p>
        </w:tc>
        <w:tc>
          <w:tcPr>
            <w:tcW w:w="1134" w:type="dxa"/>
          </w:tcPr>
          <w:p w14:paraId="51AE044E" w14:textId="77777777" w:rsidR="00E0016F" w:rsidRPr="00E0016F" w:rsidRDefault="00E0016F" w:rsidP="00E0016F">
            <w:pPr>
              <w:tabs>
                <w:tab w:val="decimal" w:pos="910"/>
              </w:tabs>
              <w:spacing w:after="0" w:line="240" w:lineRule="auto"/>
              <w:jc w:val="right"/>
              <w:rPr>
                <w:rFonts w:ascii="Arial" w:eastAsia="Times New Roman" w:hAnsi="Arial"/>
                <w:sz w:val="20"/>
                <w:szCs w:val="20"/>
              </w:rPr>
            </w:pPr>
          </w:p>
        </w:tc>
        <w:tc>
          <w:tcPr>
            <w:tcW w:w="1276" w:type="dxa"/>
          </w:tcPr>
          <w:p w14:paraId="1BE81794" w14:textId="77777777" w:rsidR="00E0016F" w:rsidRPr="004C3D88" w:rsidRDefault="00E0016F" w:rsidP="00E0016F">
            <w:pPr>
              <w:tabs>
                <w:tab w:val="decimal" w:pos="910"/>
              </w:tabs>
              <w:spacing w:after="0" w:line="240" w:lineRule="auto"/>
              <w:jc w:val="right"/>
              <w:rPr>
                <w:rFonts w:ascii="Arial" w:eastAsia="Times New Roman" w:hAnsi="Arial"/>
                <w:color w:val="000000" w:themeColor="text1"/>
                <w:sz w:val="20"/>
                <w:szCs w:val="20"/>
              </w:rPr>
            </w:pPr>
          </w:p>
        </w:tc>
        <w:tc>
          <w:tcPr>
            <w:tcW w:w="1276" w:type="dxa"/>
          </w:tcPr>
          <w:p w14:paraId="31DD4A2E" w14:textId="77777777" w:rsidR="00E0016F" w:rsidRPr="004C3D88" w:rsidRDefault="00E0016F" w:rsidP="00E0016F">
            <w:pPr>
              <w:tabs>
                <w:tab w:val="decimal" w:pos="910"/>
              </w:tabs>
              <w:spacing w:after="0" w:line="240" w:lineRule="auto"/>
              <w:jc w:val="right"/>
              <w:rPr>
                <w:rFonts w:ascii="Arial" w:eastAsia="Times New Roman" w:hAnsi="Arial"/>
                <w:color w:val="000000" w:themeColor="text1"/>
                <w:sz w:val="20"/>
                <w:szCs w:val="20"/>
              </w:rPr>
            </w:pPr>
          </w:p>
        </w:tc>
        <w:tc>
          <w:tcPr>
            <w:tcW w:w="1327" w:type="dxa"/>
          </w:tcPr>
          <w:p w14:paraId="11739025" w14:textId="77777777" w:rsidR="00E0016F" w:rsidRPr="004C3D88" w:rsidRDefault="00E0016F" w:rsidP="00E0016F">
            <w:pPr>
              <w:tabs>
                <w:tab w:val="decimal" w:pos="910"/>
              </w:tabs>
              <w:spacing w:after="0" w:line="240" w:lineRule="auto"/>
              <w:jc w:val="right"/>
              <w:rPr>
                <w:rFonts w:ascii="Arial" w:eastAsia="Times New Roman" w:hAnsi="Arial"/>
                <w:color w:val="000000" w:themeColor="text1"/>
                <w:sz w:val="20"/>
                <w:szCs w:val="20"/>
              </w:rPr>
            </w:pPr>
          </w:p>
        </w:tc>
      </w:tr>
      <w:tr w:rsidR="00E0016F" w:rsidRPr="000D57BD" w14:paraId="1C0EEDF7" w14:textId="77777777" w:rsidTr="00957DF3">
        <w:trPr>
          <w:cantSplit/>
        </w:trPr>
        <w:tc>
          <w:tcPr>
            <w:tcW w:w="4768" w:type="dxa"/>
          </w:tcPr>
          <w:p w14:paraId="1B1C1E87" w14:textId="77777777" w:rsidR="00E0016F" w:rsidRPr="000D57BD" w:rsidRDefault="00E0016F" w:rsidP="00E0016F">
            <w:pPr>
              <w:spacing w:after="0" w:line="240" w:lineRule="auto"/>
              <w:rPr>
                <w:rFonts w:ascii="Arial" w:eastAsia="Times New Roman" w:hAnsi="Arial"/>
                <w:color w:val="000000" w:themeColor="text1"/>
                <w:sz w:val="20"/>
                <w:szCs w:val="20"/>
              </w:rPr>
            </w:pPr>
            <w:r w:rsidRPr="000D57BD">
              <w:rPr>
                <w:rFonts w:ascii="Arial" w:eastAsia="Times New Roman" w:hAnsi="Arial"/>
                <w:color w:val="000000" w:themeColor="text1"/>
                <w:sz w:val="20"/>
                <w:szCs w:val="20"/>
              </w:rPr>
              <w:t>Liabilities Insurance</w:t>
            </w:r>
          </w:p>
        </w:tc>
        <w:tc>
          <w:tcPr>
            <w:tcW w:w="1134" w:type="dxa"/>
            <w:vAlign w:val="bottom"/>
          </w:tcPr>
          <w:p w14:paraId="20CBE9F3" w14:textId="77777777" w:rsidR="00E0016F" w:rsidRPr="00E0016F" w:rsidRDefault="00E0016F" w:rsidP="00E0016F">
            <w:pPr>
              <w:tabs>
                <w:tab w:val="decimal" w:pos="910"/>
              </w:tabs>
              <w:spacing w:after="0" w:line="240" w:lineRule="auto"/>
              <w:jc w:val="right"/>
              <w:rPr>
                <w:rFonts w:ascii="Arial" w:eastAsia="Times New Roman" w:hAnsi="Arial"/>
                <w:sz w:val="20"/>
                <w:szCs w:val="20"/>
              </w:rPr>
            </w:pPr>
            <w:r w:rsidRPr="00E0016F">
              <w:rPr>
                <w:rFonts w:ascii="Arial" w:eastAsia="Times New Roman" w:hAnsi="Arial"/>
                <w:sz w:val="20"/>
                <w:szCs w:val="20"/>
              </w:rPr>
              <w:t>558</w:t>
            </w:r>
          </w:p>
        </w:tc>
        <w:tc>
          <w:tcPr>
            <w:tcW w:w="1276" w:type="dxa"/>
            <w:vAlign w:val="bottom"/>
          </w:tcPr>
          <w:p w14:paraId="49DADF00" w14:textId="77777777" w:rsidR="00E0016F" w:rsidRPr="004C3D88" w:rsidRDefault="00C228B7" w:rsidP="00C228B7">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558</w:t>
            </w:r>
          </w:p>
        </w:tc>
        <w:tc>
          <w:tcPr>
            <w:tcW w:w="1276" w:type="dxa"/>
            <w:vAlign w:val="bottom"/>
          </w:tcPr>
          <w:p w14:paraId="6CA9E707" w14:textId="77777777"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558</w:t>
            </w:r>
          </w:p>
        </w:tc>
        <w:tc>
          <w:tcPr>
            <w:tcW w:w="1327" w:type="dxa"/>
            <w:vAlign w:val="bottom"/>
          </w:tcPr>
          <w:p w14:paraId="4D10E430" w14:textId="77777777" w:rsidR="00E0016F" w:rsidRPr="004C3D88" w:rsidRDefault="004C3D88" w:rsidP="004C3D88">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558</w:t>
            </w:r>
          </w:p>
        </w:tc>
      </w:tr>
      <w:tr w:rsidR="00E0016F" w:rsidRPr="000D57BD" w14:paraId="4E76A474" w14:textId="77777777" w:rsidTr="00957DF3">
        <w:trPr>
          <w:cantSplit/>
        </w:trPr>
        <w:tc>
          <w:tcPr>
            <w:tcW w:w="4768" w:type="dxa"/>
          </w:tcPr>
          <w:p w14:paraId="03CBDF1F" w14:textId="77777777" w:rsidR="00E0016F" w:rsidRPr="000D57BD" w:rsidRDefault="00E0016F" w:rsidP="00E0016F">
            <w:pPr>
              <w:spacing w:after="0" w:line="240" w:lineRule="auto"/>
              <w:rPr>
                <w:rFonts w:ascii="Arial" w:eastAsia="Times New Roman" w:hAnsi="Arial"/>
                <w:color w:val="000000" w:themeColor="text1"/>
                <w:sz w:val="20"/>
                <w:szCs w:val="20"/>
              </w:rPr>
            </w:pPr>
            <w:r w:rsidRPr="000D57BD">
              <w:rPr>
                <w:rFonts w:ascii="Arial" w:eastAsia="Times New Roman" w:hAnsi="Arial"/>
                <w:color w:val="000000" w:themeColor="text1"/>
                <w:sz w:val="20"/>
                <w:szCs w:val="20"/>
              </w:rPr>
              <w:t>Clothing, Uniforms and Laundry</w:t>
            </w:r>
          </w:p>
        </w:tc>
        <w:tc>
          <w:tcPr>
            <w:tcW w:w="1134" w:type="dxa"/>
            <w:vAlign w:val="bottom"/>
          </w:tcPr>
          <w:p w14:paraId="3F3B5931" w14:textId="77777777" w:rsidR="00E0016F" w:rsidRPr="00E0016F" w:rsidRDefault="00E0016F" w:rsidP="00E0016F">
            <w:pPr>
              <w:tabs>
                <w:tab w:val="decimal" w:pos="910"/>
              </w:tabs>
              <w:spacing w:after="0" w:line="240" w:lineRule="auto"/>
              <w:jc w:val="right"/>
              <w:rPr>
                <w:rFonts w:ascii="Arial" w:eastAsia="Times New Roman" w:hAnsi="Arial"/>
                <w:sz w:val="20"/>
                <w:szCs w:val="20"/>
              </w:rPr>
            </w:pPr>
            <w:r w:rsidRPr="00E0016F">
              <w:rPr>
                <w:rFonts w:ascii="Arial" w:eastAsia="Times New Roman" w:hAnsi="Arial"/>
                <w:sz w:val="20"/>
                <w:szCs w:val="20"/>
              </w:rPr>
              <w:t>4</w:t>
            </w:r>
          </w:p>
        </w:tc>
        <w:tc>
          <w:tcPr>
            <w:tcW w:w="1276" w:type="dxa"/>
            <w:vAlign w:val="bottom"/>
          </w:tcPr>
          <w:p w14:paraId="62D977BA" w14:textId="77777777" w:rsidR="00E0016F" w:rsidRPr="004C3D88" w:rsidRDefault="00C228B7"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4</w:t>
            </w:r>
          </w:p>
        </w:tc>
        <w:tc>
          <w:tcPr>
            <w:tcW w:w="1276" w:type="dxa"/>
            <w:vAlign w:val="bottom"/>
          </w:tcPr>
          <w:p w14:paraId="4BD30CFC" w14:textId="77777777"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4</w:t>
            </w:r>
          </w:p>
        </w:tc>
        <w:tc>
          <w:tcPr>
            <w:tcW w:w="1327" w:type="dxa"/>
            <w:vAlign w:val="bottom"/>
          </w:tcPr>
          <w:p w14:paraId="7AA60765" w14:textId="77777777"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4</w:t>
            </w:r>
          </w:p>
        </w:tc>
      </w:tr>
      <w:tr w:rsidR="00E0016F" w:rsidRPr="000D57BD" w14:paraId="39260CD1" w14:textId="77777777" w:rsidTr="00957DF3">
        <w:trPr>
          <w:cantSplit/>
        </w:trPr>
        <w:tc>
          <w:tcPr>
            <w:tcW w:w="4768" w:type="dxa"/>
          </w:tcPr>
          <w:p w14:paraId="388FCC3C" w14:textId="77777777" w:rsidR="00E0016F" w:rsidRPr="000D57BD" w:rsidRDefault="00E0016F" w:rsidP="00E0016F">
            <w:pPr>
              <w:spacing w:after="0" w:line="240" w:lineRule="auto"/>
              <w:rPr>
                <w:rFonts w:ascii="Arial" w:eastAsia="Times New Roman" w:hAnsi="Arial"/>
                <w:color w:val="000000" w:themeColor="text1"/>
                <w:sz w:val="20"/>
                <w:szCs w:val="20"/>
              </w:rPr>
            </w:pPr>
            <w:r w:rsidRPr="000D57BD">
              <w:rPr>
                <w:rFonts w:ascii="Arial" w:eastAsia="Times New Roman" w:hAnsi="Arial"/>
                <w:color w:val="000000" w:themeColor="text1"/>
                <w:sz w:val="20"/>
                <w:szCs w:val="20"/>
              </w:rPr>
              <w:t>Printing, Stationery and General Office Expenses</w:t>
            </w:r>
          </w:p>
        </w:tc>
        <w:tc>
          <w:tcPr>
            <w:tcW w:w="1134" w:type="dxa"/>
            <w:vAlign w:val="bottom"/>
          </w:tcPr>
          <w:p w14:paraId="7F9AE851" w14:textId="77777777" w:rsidR="00E0016F" w:rsidRPr="00E0016F" w:rsidRDefault="00E0016F" w:rsidP="00E0016F">
            <w:pPr>
              <w:tabs>
                <w:tab w:val="decimal" w:pos="910"/>
              </w:tabs>
              <w:spacing w:after="0" w:line="240" w:lineRule="auto"/>
              <w:jc w:val="right"/>
              <w:rPr>
                <w:rFonts w:ascii="Arial" w:eastAsia="Times New Roman" w:hAnsi="Arial"/>
                <w:sz w:val="20"/>
                <w:szCs w:val="20"/>
              </w:rPr>
            </w:pPr>
            <w:r w:rsidRPr="00E0016F">
              <w:rPr>
                <w:rFonts w:ascii="Arial" w:eastAsia="Times New Roman" w:hAnsi="Arial"/>
                <w:sz w:val="20"/>
                <w:szCs w:val="20"/>
              </w:rPr>
              <w:t>10</w:t>
            </w:r>
            <w:r w:rsidR="009B3937">
              <w:rPr>
                <w:rFonts w:ascii="Arial" w:eastAsia="Times New Roman" w:hAnsi="Arial"/>
                <w:sz w:val="20"/>
                <w:szCs w:val="20"/>
              </w:rPr>
              <w:t>3</w:t>
            </w:r>
          </w:p>
        </w:tc>
        <w:tc>
          <w:tcPr>
            <w:tcW w:w="1276" w:type="dxa"/>
            <w:vAlign w:val="bottom"/>
          </w:tcPr>
          <w:p w14:paraId="74CF7969" w14:textId="77777777" w:rsidR="00E0016F" w:rsidRPr="004C3D88" w:rsidRDefault="00C228B7"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103</w:t>
            </w:r>
          </w:p>
        </w:tc>
        <w:tc>
          <w:tcPr>
            <w:tcW w:w="1276" w:type="dxa"/>
            <w:vAlign w:val="bottom"/>
          </w:tcPr>
          <w:p w14:paraId="5671B970" w14:textId="77777777"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103</w:t>
            </w:r>
          </w:p>
        </w:tc>
        <w:tc>
          <w:tcPr>
            <w:tcW w:w="1327" w:type="dxa"/>
            <w:vAlign w:val="bottom"/>
          </w:tcPr>
          <w:p w14:paraId="63E3E71C" w14:textId="77777777"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103</w:t>
            </w:r>
          </w:p>
        </w:tc>
      </w:tr>
      <w:tr w:rsidR="00E0016F" w:rsidRPr="000D57BD" w14:paraId="28A66E61" w14:textId="77777777" w:rsidTr="00957DF3">
        <w:trPr>
          <w:cantSplit/>
        </w:trPr>
        <w:tc>
          <w:tcPr>
            <w:tcW w:w="4768" w:type="dxa"/>
          </w:tcPr>
          <w:p w14:paraId="03C67A22" w14:textId="77777777" w:rsidR="00E0016F" w:rsidRPr="000D57BD" w:rsidRDefault="00E0016F" w:rsidP="00E0016F">
            <w:pPr>
              <w:spacing w:after="0" w:line="240" w:lineRule="auto"/>
              <w:rPr>
                <w:rFonts w:ascii="Arial" w:eastAsia="Times New Roman" w:hAnsi="Arial"/>
                <w:color w:val="000000" w:themeColor="text1"/>
                <w:sz w:val="20"/>
                <w:szCs w:val="20"/>
              </w:rPr>
            </w:pPr>
            <w:r w:rsidRPr="000D57BD">
              <w:rPr>
                <w:rFonts w:ascii="Arial" w:eastAsia="Times New Roman" w:hAnsi="Arial"/>
                <w:color w:val="000000" w:themeColor="text1"/>
                <w:sz w:val="20"/>
                <w:szCs w:val="20"/>
              </w:rPr>
              <w:t>Professional Fees</w:t>
            </w:r>
          </w:p>
        </w:tc>
        <w:tc>
          <w:tcPr>
            <w:tcW w:w="1134" w:type="dxa"/>
            <w:vAlign w:val="bottom"/>
          </w:tcPr>
          <w:p w14:paraId="70481369" w14:textId="77777777" w:rsidR="00E0016F" w:rsidRPr="00E0016F" w:rsidRDefault="009B3937" w:rsidP="00E0016F">
            <w:pPr>
              <w:tabs>
                <w:tab w:val="decimal" w:pos="910"/>
              </w:tabs>
              <w:spacing w:after="0" w:line="240" w:lineRule="auto"/>
              <w:jc w:val="right"/>
              <w:rPr>
                <w:rFonts w:ascii="Arial" w:eastAsia="Times New Roman" w:hAnsi="Arial"/>
                <w:sz w:val="20"/>
                <w:szCs w:val="20"/>
              </w:rPr>
            </w:pPr>
            <w:r>
              <w:rPr>
                <w:rFonts w:ascii="Arial" w:eastAsia="Times New Roman" w:hAnsi="Arial"/>
                <w:sz w:val="20"/>
                <w:szCs w:val="20"/>
              </w:rPr>
              <w:t>90</w:t>
            </w:r>
          </w:p>
        </w:tc>
        <w:tc>
          <w:tcPr>
            <w:tcW w:w="1276" w:type="dxa"/>
            <w:vAlign w:val="bottom"/>
          </w:tcPr>
          <w:p w14:paraId="181D91AB" w14:textId="77777777" w:rsidR="00E0016F" w:rsidRPr="004C3D88" w:rsidRDefault="00C228B7"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90</w:t>
            </w:r>
          </w:p>
        </w:tc>
        <w:tc>
          <w:tcPr>
            <w:tcW w:w="1276" w:type="dxa"/>
            <w:vAlign w:val="bottom"/>
          </w:tcPr>
          <w:p w14:paraId="4169FD9A" w14:textId="77777777"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90</w:t>
            </w:r>
          </w:p>
        </w:tc>
        <w:tc>
          <w:tcPr>
            <w:tcW w:w="1327" w:type="dxa"/>
            <w:vAlign w:val="bottom"/>
          </w:tcPr>
          <w:p w14:paraId="1A32C46E" w14:textId="77777777"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90</w:t>
            </w:r>
          </w:p>
        </w:tc>
      </w:tr>
      <w:tr w:rsidR="00E0016F" w:rsidRPr="000D57BD" w14:paraId="6FE354BB" w14:textId="77777777" w:rsidTr="00957DF3">
        <w:trPr>
          <w:cantSplit/>
        </w:trPr>
        <w:tc>
          <w:tcPr>
            <w:tcW w:w="4768" w:type="dxa"/>
          </w:tcPr>
          <w:p w14:paraId="13E53E7B" w14:textId="77777777" w:rsidR="00E0016F" w:rsidRPr="000D57BD" w:rsidRDefault="00E0016F" w:rsidP="00E0016F">
            <w:pPr>
              <w:spacing w:after="0" w:line="240" w:lineRule="auto"/>
              <w:rPr>
                <w:rFonts w:ascii="Arial" w:eastAsia="Times New Roman" w:hAnsi="Arial"/>
                <w:color w:val="000000" w:themeColor="text1"/>
                <w:sz w:val="20"/>
                <w:szCs w:val="20"/>
              </w:rPr>
            </w:pPr>
            <w:r w:rsidRPr="000D57BD">
              <w:rPr>
                <w:rFonts w:ascii="Arial" w:eastAsia="Times New Roman" w:hAnsi="Arial"/>
                <w:color w:val="000000" w:themeColor="text1"/>
                <w:sz w:val="20"/>
                <w:szCs w:val="20"/>
              </w:rPr>
              <w:t>Postages</w:t>
            </w:r>
          </w:p>
        </w:tc>
        <w:tc>
          <w:tcPr>
            <w:tcW w:w="1134" w:type="dxa"/>
            <w:vAlign w:val="bottom"/>
          </w:tcPr>
          <w:p w14:paraId="5C9AB3D9" w14:textId="77777777" w:rsidR="00E0016F" w:rsidRPr="00E0016F" w:rsidRDefault="00E0016F" w:rsidP="00E0016F">
            <w:pPr>
              <w:tabs>
                <w:tab w:val="decimal" w:pos="910"/>
              </w:tabs>
              <w:spacing w:after="0" w:line="240" w:lineRule="auto"/>
              <w:jc w:val="right"/>
              <w:rPr>
                <w:rFonts w:ascii="Arial" w:eastAsia="Times New Roman" w:hAnsi="Arial"/>
                <w:sz w:val="20"/>
                <w:szCs w:val="20"/>
              </w:rPr>
            </w:pPr>
            <w:r w:rsidRPr="00E0016F">
              <w:rPr>
                <w:rFonts w:ascii="Arial" w:eastAsia="Times New Roman" w:hAnsi="Arial"/>
                <w:sz w:val="20"/>
                <w:szCs w:val="20"/>
              </w:rPr>
              <w:t>40</w:t>
            </w:r>
          </w:p>
        </w:tc>
        <w:tc>
          <w:tcPr>
            <w:tcW w:w="1276" w:type="dxa"/>
            <w:vAlign w:val="bottom"/>
          </w:tcPr>
          <w:p w14:paraId="35F26A64" w14:textId="77777777" w:rsidR="00E0016F" w:rsidRPr="004C3D88" w:rsidRDefault="00C228B7"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40</w:t>
            </w:r>
          </w:p>
        </w:tc>
        <w:tc>
          <w:tcPr>
            <w:tcW w:w="1276" w:type="dxa"/>
            <w:vAlign w:val="bottom"/>
          </w:tcPr>
          <w:p w14:paraId="2FE86103" w14:textId="77777777"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40</w:t>
            </w:r>
          </w:p>
        </w:tc>
        <w:tc>
          <w:tcPr>
            <w:tcW w:w="1327" w:type="dxa"/>
            <w:vAlign w:val="bottom"/>
          </w:tcPr>
          <w:p w14:paraId="00DE6C09" w14:textId="77777777"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40</w:t>
            </w:r>
          </w:p>
        </w:tc>
      </w:tr>
      <w:tr w:rsidR="00E0016F" w:rsidRPr="000D57BD" w14:paraId="30614AA4" w14:textId="77777777" w:rsidTr="00957DF3">
        <w:trPr>
          <w:cantSplit/>
        </w:trPr>
        <w:tc>
          <w:tcPr>
            <w:tcW w:w="4768" w:type="dxa"/>
          </w:tcPr>
          <w:p w14:paraId="7F36845D" w14:textId="77777777" w:rsidR="00E0016F" w:rsidRPr="000D57BD" w:rsidRDefault="00E0016F" w:rsidP="00E0016F">
            <w:pPr>
              <w:spacing w:after="0" w:line="240" w:lineRule="auto"/>
              <w:rPr>
                <w:rFonts w:ascii="Arial" w:eastAsia="Times New Roman" w:hAnsi="Arial"/>
                <w:color w:val="000000" w:themeColor="text1"/>
                <w:sz w:val="20"/>
                <w:szCs w:val="20"/>
              </w:rPr>
            </w:pPr>
            <w:r w:rsidRPr="000D57BD">
              <w:rPr>
                <w:rFonts w:ascii="Arial" w:eastAsia="Times New Roman" w:hAnsi="Arial"/>
                <w:color w:val="000000" w:themeColor="text1"/>
                <w:sz w:val="20"/>
                <w:szCs w:val="20"/>
              </w:rPr>
              <w:t>Telephones</w:t>
            </w:r>
          </w:p>
        </w:tc>
        <w:tc>
          <w:tcPr>
            <w:tcW w:w="1134" w:type="dxa"/>
            <w:vAlign w:val="bottom"/>
          </w:tcPr>
          <w:p w14:paraId="6980E7E2" w14:textId="77777777" w:rsidR="00E0016F" w:rsidRPr="00E0016F" w:rsidRDefault="00E0016F" w:rsidP="00E0016F">
            <w:pPr>
              <w:tabs>
                <w:tab w:val="decimal" w:pos="910"/>
              </w:tabs>
              <w:spacing w:after="0" w:line="240" w:lineRule="auto"/>
              <w:jc w:val="right"/>
              <w:rPr>
                <w:rFonts w:ascii="Arial" w:eastAsia="Times New Roman" w:hAnsi="Arial"/>
                <w:sz w:val="20"/>
                <w:szCs w:val="20"/>
              </w:rPr>
            </w:pPr>
            <w:r w:rsidRPr="00E0016F">
              <w:rPr>
                <w:rFonts w:ascii="Arial" w:eastAsia="Times New Roman" w:hAnsi="Arial"/>
                <w:sz w:val="20"/>
                <w:szCs w:val="20"/>
              </w:rPr>
              <w:t>4</w:t>
            </w:r>
            <w:r w:rsidR="009B3937">
              <w:rPr>
                <w:rFonts w:ascii="Arial" w:eastAsia="Times New Roman" w:hAnsi="Arial"/>
                <w:sz w:val="20"/>
                <w:szCs w:val="20"/>
              </w:rPr>
              <w:t>9</w:t>
            </w:r>
          </w:p>
        </w:tc>
        <w:tc>
          <w:tcPr>
            <w:tcW w:w="1276" w:type="dxa"/>
            <w:vAlign w:val="bottom"/>
          </w:tcPr>
          <w:p w14:paraId="114CABEF" w14:textId="77777777" w:rsidR="00E0016F" w:rsidRPr="004C3D88" w:rsidRDefault="00C228B7"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49</w:t>
            </w:r>
          </w:p>
        </w:tc>
        <w:tc>
          <w:tcPr>
            <w:tcW w:w="1276" w:type="dxa"/>
            <w:vAlign w:val="bottom"/>
          </w:tcPr>
          <w:p w14:paraId="456CB9B4" w14:textId="77777777"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49</w:t>
            </w:r>
          </w:p>
        </w:tc>
        <w:tc>
          <w:tcPr>
            <w:tcW w:w="1327" w:type="dxa"/>
            <w:vAlign w:val="bottom"/>
          </w:tcPr>
          <w:p w14:paraId="771D0BF9" w14:textId="77777777"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49</w:t>
            </w:r>
          </w:p>
        </w:tc>
      </w:tr>
      <w:tr w:rsidR="00E0016F" w:rsidRPr="000D57BD" w14:paraId="4E6BD566" w14:textId="77777777" w:rsidTr="00957DF3">
        <w:trPr>
          <w:cantSplit/>
        </w:trPr>
        <w:tc>
          <w:tcPr>
            <w:tcW w:w="4768" w:type="dxa"/>
          </w:tcPr>
          <w:p w14:paraId="1F7940BC" w14:textId="77777777" w:rsidR="00E0016F" w:rsidRPr="000D57BD" w:rsidRDefault="00E0016F" w:rsidP="00E0016F">
            <w:pPr>
              <w:spacing w:after="0" w:line="240" w:lineRule="auto"/>
              <w:rPr>
                <w:rFonts w:ascii="Arial" w:eastAsia="Times New Roman" w:hAnsi="Arial"/>
                <w:color w:val="000000" w:themeColor="text1"/>
                <w:sz w:val="20"/>
                <w:szCs w:val="20"/>
              </w:rPr>
            </w:pPr>
            <w:r w:rsidRPr="000D57BD">
              <w:rPr>
                <w:rFonts w:ascii="Arial" w:eastAsia="Times New Roman" w:hAnsi="Arial"/>
                <w:color w:val="000000" w:themeColor="text1"/>
                <w:sz w:val="20"/>
                <w:szCs w:val="20"/>
              </w:rPr>
              <w:t>IT Software Maintenance</w:t>
            </w:r>
          </w:p>
        </w:tc>
        <w:tc>
          <w:tcPr>
            <w:tcW w:w="1134" w:type="dxa"/>
            <w:vAlign w:val="bottom"/>
          </w:tcPr>
          <w:p w14:paraId="09B526E5" w14:textId="77777777" w:rsidR="00E0016F" w:rsidRPr="00E0016F" w:rsidRDefault="00E0016F" w:rsidP="00E0016F">
            <w:pPr>
              <w:tabs>
                <w:tab w:val="decimal" w:pos="910"/>
              </w:tabs>
              <w:spacing w:after="0" w:line="240" w:lineRule="auto"/>
              <w:jc w:val="right"/>
              <w:rPr>
                <w:rFonts w:ascii="Arial" w:eastAsia="Times New Roman" w:hAnsi="Arial"/>
                <w:sz w:val="20"/>
                <w:szCs w:val="20"/>
              </w:rPr>
            </w:pPr>
            <w:r w:rsidRPr="00E0016F">
              <w:rPr>
                <w:rFonts w:ascii="Arial" w:eastAsia="Times New Roman" w:hAnsi="Arial"/>
                <w:sz w:val="20"/>
                <w:szCs w:val="20"/>
              </w:rPr>
              <w:t>9</w:t>
            </w:r>
            <w:r w:rsidR="009B3937">
              <w:rPr>
                <w:rFonts w:ascii="Arial" w:eastAsia="Times New Roman" w:hAnsi="Arial"/>
                <w:sz w:val="20"/>
                <w:szCs w:val="20"/>
              </w:rPr>
              <w:t>8</w:t>
            </w:r>
          </w:p>
        </w:tc>
        <w:tc>
          <w:tcPr>
            <w:tcW w:w="1276" w:type="dxa"/>
            <w:vAlign w:val="bottom"/>
          </w:tcPr>
          <w:p w14:paraId="05A1D452" w14:textId="77777777" w:rsidR="00E0016F" w:rsidRPr="004C3D88" w:rsidRDefault="00C228B7"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98</w:t>
            </w:r>
          </w:p>
        </w:tc>
        <w:tc>
          <w:tcPr>
            <w:tcW w:w="1276" w:type="dxa"/>
            <w:vAlign w:val="bottom"/>
          </w:tcPr>
          <w:p w14:paraId="2C5AF8F3" w14:textId="77777777"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98</w:t>
            </w:r>
          </w:p>
        </w:tc>
        <w:tc>
          <w:tcPr>
            <w:tcW w:w="1327" w:type="dxa"/>
            <w:vAlign w:val="bottom"/>
          </w:tcPr>
          <w:p w14:paraId="390D4DBB" w14:textId="77777777"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98</w:t>
            </w:r>
          </w:p>
        </w:tc>
      </w:tr>
      <w:tr w:rsidR="00E0016F" w:rsidRPr="000D57BD" w14:paraId="38BA0C73" w14:textId="77777777" w:rsidTr="00957DF3">
        <w:trPr>
          <w:cantSplit/>
        </w:trPr>
        <w:tc>
          <w:tcPr>
            <w:tcW w:w="4768" w:type="dxa"/>
          </w:tcPr>
          <w:p w14:paraId="19E69B6D" w14:textId="77777777" w:rsidR="00E0016F" w:rsidRPr="000D57BD" w:rsidRDefault="00E0016F" w:rsidP="00E0016F">
            <w:pPr>
              <w:spacing w:after="0" w:line="240" w:lineRule="auto"/>
              <w:rPr>
                <w:rFonts w:ascii="Arial" w:eastAsia="Times New Roman" w:hAnsi="Arial"/>
                <w:color w:val="000000" w:themeColor="text1"/>
                <w:sz w:val="20"/>
                <w:szCs w:val="20"/>
              </w:rPr>
            </w:pPr>
            <w:r w:rsidRPr="000D57BD">
              <w:rPr>
                <w:rFonts w:ascii="Arial" w:eastAsia="Times New Roman" w:hAnsi="Arial"/>
                <w:color w:val="000000" w:themeColor="text1"/>
                <w:sz w:val="20"/>
                <w:szCs w:val="20"/>
              </w:rPr>
              <w:t>Hardship Fund</w:t>
            </w:r>
          </w:p>
        </w:tc>
        <w:tc>
          <w:tcPr>
            <w:tcW w:w="1134" w:type="dxa"/>
            <w:vAlign w:val="bottom"/>
          </w:tcPr>
          <w:p w14:paraId="3EE55141" w14:textId="77777777" w:rsidR="00E0016F" w:rsidRPr="00E0016F" w:rsidRDefault="009B3937" w:rsidP="00E0016F">
            <w:pPr>
              <w:tabs>
                <w:tab w:val="decimal" w:pos="910"/>
              </w:tabs>
              <w:spacing w:after="0" w:line="240" w:lineRule="auto"/>
              <w:jc w:val="right"/>
              <w:rPr>
                <w:rFonts w:ascii="Arial" w:eastAsia="Times New Roman" w:hAnsi="Arial"/>
                <w:sz w:val="20"/>
                <w:szCs w:val="20"/>
              </w:rPr>
            </w:pPr>
            <w:r>
              <w:rPr>
                <w:rFonts w:ascii="Arial" w:eastAsia="Times New Roman" w:hAnsi="Arial"/>
                <w:sz w:val="20"/>
                <w:szCs w:val="20"/>
              </w:rPr>
              <w:t>500</w:t>
            </w:r>
          </w:p>
        </w:tc>
        <w:tc>
          <w:tcPr>
            <w:tcW w:w="1276" w:type="dxa"/>
            <w:vAlign w:val="bottom"/>
          </w:tcPr>
          <w:p w14:paraId="7E6B0E57" w14:textId="77777777" w:rsidR="00E0016F" w:rsidRPr="004C3D88" w:rsidRDefault="009752A4" w:rsidP="00E0016F">
            <w:pPr>
              <w:tabs>
                <w:tab w:val="decimal" w:pos="910"/>
              </w:tabs>
              <w:spacing w:after="0" w:line="240" w:lineRule="auto"/>
              <w:jc w:val="right"/>
              <w:rPr>
                <w:rFonts w:ascii="Arial" w:eastAsia="Times New Roman" w:hAnsi="Arial"/>
                <w:color w:val="000000" w:themeColor="text1"/>
                <w:sz w:val="20"/>
                <w:szCs w:val="20"/>
              </w:rPr>
            </w:pPr>
            <w:r>
              <w:rPr>
                <w:rFonts w:ascii="Arial" w:eastAsia="Times New Roman" w:hAnsi="Arial"/>
                <w:color w:val="000000" w:themeColor="text1"/>
                <w:sz w:val="20"/>
                <w:szCs w:val="20"/>
              </w:rPr>
              <w:t>50</w:t>
            </w:r>
            <w:r w:rsidR="00C228B7" w:rsidRPr="004C3D88">
              <w:rPr>
                <w:rFonts w:ascii="Arial" w:eastAsia="Times New Roman" w:hAnsi="Arial"/>
                <w:color w:val="000000" w:themeColor="text1"/>
                <w:sz w:val="20"/>
                <w:szCs w:val="20"/>
              </w:rPr>
              <w:t>0</w:t>
            </w:r>
          </w:p>
        </w:tc>
        <w:tc>
          <w:tcPr>
            <w:tcW w:w="1276" w:type="dxa"/>
            <w:vAlign w:val="bottom"/>
          </w:tcPr>
          <w:p w14:paraId="6C1216BD" w14:textId="77777777" w:rsidR="00E0016F" w:rsidRPr="004C3D88" w:rsidRDefault="009752A4" w:rsidP="00E0016F">
            <w:pPr>
              <w:tabs>
                <w:tab w:val="decimal" w:pos="910"/>
              </w:tabs>
              <w:spacing w:after="0" w:line="240" w:lineRule="auto"/>
              <w:jc w:val="right"/>
              <w:rPr>
                <w:rFonts w:ascii="Arial" w:eastAsia="Times New Roman" w:hAnsi="Arial"/>
                <w:color w:val="000000" w:themeColor="text1"/>
                <w:sz w:val="20"/>
                <w:szCs w:val="20"/>
              </w:rPr>
            </w:pPr>
            <w:r>
              <w:rPr>
                <w:rFonts w:ascii="Arial" w:eastAsia="Times New Roman" w:hAnsi="Arial"/>
                <w:color w:val="000000" w:themeColor="text1"/>
                <w:sz w:val="20"/>
                <w:szCs w:val="20"/>
              </w:rPr>
              <w:t>50</w:t>
            </w:r>
            <w:r w:rsidR="004C3D88" w:rsidRPr="004C3D88">
              <w:rPr>
                <w:rFonts w:ascii="Arial" w:eastAsia="Times New Roman" w:hAnsi="Arial"/>
                <w:color w:val="000000" w:themeColor="text1"/>
                <w:sz w:val="20"/>
                <w:szCs w:val="20"/>
              </w:rPr>
              <w:t>0</w:t>
            </w:r>
          </w:p>
        </w:tc>
        <w:tc>
          <w:tcPr>
            <w:tcW w:w="1327" w:type="dxa"/>
            <w:vAlign w:val="bottom"/>
          </w:tcPr>
          <w:p w14:paraId="0CFF49AC" w14:textId="77777777" w:rsidR="00E0016F" w:rsidRPr="004C3D88" w:rsidRDefault="009752A4" w:rsidP="00E0016F">
            <w:pPr>
              <w:tabs>
                <w:tab w:val="decimal" w:pos="910"/>
              </w:tabs>
              <w:spacing w:after="0" w:line="240" w:lineRule="auto"/>
              <w:jc w:val="right"/>
              <w:rPr>
                <w:rFonts w:ascii="Arial" w:eastAsia="Times New Roman" w:hAnsi="Arial"/>
                <w:color w:val="000000" w:themeColor="text1"/>
                <w:sz w:val="20"/>
                <w:szCs w:val="20"/>
              </w:rPr>
            </w:pPr>
            <w:r>
              <w:rPr>
                <w:rFonts w:ascii="Arial" w:eastAsia="Times New Roman" w:hAnsi="Arial"/>
                <w:color w:val="000000" w:themeColor="text1"/>
                <w:sz w:val="20"/>
                <w:szCs w:val="20"/>
              </w:rPr>
              <w:t>50</w:t>
            </w:r>
            <w:r w:rsidR="004C3D88" w:rsidRPr="004C3D88">
              <w:rPr>
                <w:rFonts w:ascii="Arial" w:eastAsia="Times New Roman" w:hAnsi="Arial"/>
                <w:color w:val="000000" w:themeColor="text1"/>
                <w:sz w:val="20"/>
                <w:szCs w:val="20"/>
              </w:rPr>
              <w:t>0</w:t>
            </w:r>
          </w:p>
        </w:tc>
      </w:tr>
      <w:tr w:rsidR="00E0016F" w:rsidRPr="000D57BD" w14:paraId="5D89EA12" w14:textId="77777777" w:rsidTr="00957DF3">
        <w:trPr>
          <w:cantSplit/>
        </w:trPr>
        <w:tc>
          <w:tcPr>
            <w:tcW w:w="4768" w:type="dxa"/>
          </w:tcPr>
          <w:p w14:paraId="547C5DC2" w14:textId="77777777" w:rsidR="00E0016F" w:rsidRPr="000D57BD" w:rsidRDefault="00E0016F" w:rsidP="00E0016F">
            <w:pPr>
              <w:spacing w:after="0" w:line="240" w:lineRule="auto"/>
              <w:rPr>
                <w:rFonts w:ascii="Arial" w:eastAsia="Times New Roman" w:hAnsi="Arial"/>
                <w:color w:val="000000" w:themeColor="text1"/>
                <w:sz w:val="20"/>
                <w:szCs w:val="20"/>
              </w:rPr>
            </w:pPr>
            <w:r w:rsidRPr="000D57BD">
              <w:rPr>
                <w:rFonts w:ascii="Arial" w:eastAsia="Times New Roman" w:hAnsi="Arial"/>
                <w:color w:val="000000" w:themeColor="text1"/>
                <w:sz w:val="20"/>
                <w:szCs w:val="20"/>
              </w:rPr>
              <w:t>Internal Recharges</w:t>
            </w:r>
          </w:p>
        </w:tc>
        <w:tc>
          <w:tcPr>
            <w:tcW w:w="1134" w:type="dxa"/>
            <w:vAlign w:val="bottom"/>
          </w:tcPr>
          <w:p w14:paraId="4225CE58" w14:textId="77777777" w:rsidR="00E0016F" w:rsidRPr="00E0016F" w:rsidRDefault="00E0016F" w:rsidP="00E0016F">
            <w:pPr>
              <w:tabs>
                <w:tab w:val="decimal" w:pos="910"/>
              </w:tabs>
              <w:spacing w:after="0" w:line="240" w:lineRule="auto"/>
              <w:jc w:val="right"/>
              <w:rPr>
                <w:rFonts w:ascii="Arial" w:eastAsia="Times New Roman" w:hAnsi="Arial"/>
                <w:sz w:val="20"/>
                <w:szCs w:val="20"/>
              </w:rPr>
            </w:pPr>
            <w:r w:rsidRPr="00E0016F">
              <w:rPr>
                <w:rFonts w:ascii="Arial" w:eastAsia="Times New Roman" w:hAnsi="Arial"/>
                <w:sz w:val="20"/>
                <w:szCs w:val="20"/>
              </w:rPr>
              <w:t>2,</w:t>
            </w:r>
            <w:r w:rsidR="009B3937">
              <w:rPr>
                <w:rFonts w:ascii="Arial" w:eastAsia="Times New Roman" w:hAnsi="Arial"/>
                <w:sz w:val="20"/>
                <w:szCs w:val="20"/>
              </w:rPr>
              <w:t>703</w:t>
            </w:r>
          </w:p>
        </w:tc>
        <w:tc>
          <w:tcPr>
            <w:tcW w:w="1276" w:type="dxa"/>
            <w:vAlign w:val="bottom"/>
          </w:tcPr>
          <w:p w14:paraId="3F69CAE7" w14:textId="77777777" w:rsidR="00E0016F" w:rsidRPr="004C3D88" w:rsidRDefault="00C228B7"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2,7</w:t>
            </w:r>
            <w:r w:rsidR="00DE534A">
              <w:rPr>
                <w:rFonts w:ascii="Arial" w:eastAsia="Times New Roman" w:hAnsi="Arial"/>
                <w:color w:val="000000" w:themeColor="text1"/>
                <w:sz w:val="20"/>
                <w:szCs w:val="20"/>
              </w:rPr>
              <w:t>82</w:t>
            </w:r>
          </w:p>
        </w:tc>
        <w:tc>
          <w:tcPr>
            <w:tcW w:w="1276" w:type="dxa"/>
            <w:vAlign w:val="bottom"/>
          </w:tcPr>
          <w:p w14:paraId="5899DDF4" w14:textId="571A5CC9"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2,</w:t>
            </w:r>
            <w:r w:rsidR="005B0D7C">
              <w:rPr>
                <w:rFonts w:ascii="Arial" w:eastAsia="Times New Roman" w:hAnsi="Arial"/>
                <w:color w:val="000000" w:themeColor="text1"/>
                <w:sz w:val="20"/>
                <w:szCs w:val="20"/>
              </w:rPr>
              <w:t>8</w:t>
            </w:r>
            <w:r w:rsidR="00AA1ED7">
              <w:rPr>
                <w:rFonts w:ascii="Arial" w:eastAsia="Times New Roman" w:hAnsi="Arial"/>
                <w:color w:val="000000" w:themeColor="text1"/>
                <w:sz w:val="20"/>
                <w:szCs w:val="20"/>
              </w:rPr>
              <w:t>29</w:t>
            </w:r>
          </w:p>
        </w:tc>
        <w:tc>
          <w:tcPr>
            <w:tcW w:w="1327" w:type="dxa"/>
            <w:vAlign w:val="bottom"/>
          </w:tcPr>
          <w:p w14:paraId="21E4B1E9" w14:textId="77777777"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2,</w:t>
            </w:r>
            <w:r w:rsidR="005B0D7C">
              <w:rPr>
                <w:rFonts w:ascii="Arial" w:eastAsia="Times New Roman" w:hAnsi="Arial"/>
                <w:color w:val="000000" w:themeColor="text1"/>
                <w:sz w:val="20"/>
                <w:szCs w:val="20"/>
              </w:rPr>
              <w:t>87</w:t>
            </w:r>
            <w:r w:rsidR="00DE0490">
              <w:rPr>
                <w:rFonts w:ascii="Arial" w:eastAsia="Times New Roman" w:hAnsi="Arial"/>
                <w:color w:val="000000" w:themeColor="text1"/>
                <w:sz w:val="20"/>
                <w:szCs w:val="20"/>
              </w:rPr>
              <w:t>7</w:t>
            </w:r>
          </w:p>
        </w:tc>
      </w:tr>
      <w:tr w:rsidR="00E0016F" w:rsidRPr="000D57BD" w14:paraId="7D4F8C0D" w14:textId="77777777" w:rsidTr="00957DF3">
        <w:trPr>
          <w:cantSplit/>
        </w:trPr>
        <w:tc>
          <w:tcPr>
            <w:tcW w:w="4768" w:type="dxa"/>
          </w:tcPr>
          <w:p w14:paraId="0EE597BF" w14:textId="77777777" w:rsidR="00E0016F" w:rsidRPr="000D57BD" w:rsidRDefault="00E0016F" w:rsidP="00E0016F">
            <w:pPr>
              <w:spacing w:after="0" w:line="240" w:lineRule="auto"/>
              <w:rPr>
                <w:rFonts w:ascii="Arial" w:eastAsia="Times New Roman" w:hAnsi="Arial"/>
                <w:color w:val="000000" w:themeColor="text1"/>
                <w:sz w:val="20"/>
                <w:szCs w:val="20"/>
              </w:rPr>
            </w:pPr>
            <w:r w:rsidRPr="000D57BD">
              <w:rPr>
                <w:rFonts w:ascii="Arial" w:eastAsia="Times New Roman" w:hAnsi="Arial"/>
                <w:color w:val="000000" w:themeColor="text1"/>
                <w:sz w:val="20"/>
                <w:szCs w:val="20"/>
              </w:rPr>
              <w:t>Other Supplies and Services</w:t>
            </w:r>
          </w:p>
        </w:tc>
        <w:tc>
          <w:tcPr>
            <w:tcW w:w="1134" w:type="dxa"/>
            <w:vAlign w:val="bottom"/>
          </w:tcPr>
          <w:p w14:paraId="18FB40BF" w14:textId="77777777" w:rsidR="00E0016F" w:rsidRPr="00E0016F" w:rsidRDefault="00E0016F" w:rsidP="00E0016F">
            <w:pPr>
              <w:tabs>
                <w:tab w:val="decimal" w:pos="910"/>
              </w:tabs>
              <w:spacing w:after="0" w:line="240" w:lineRule="auto"/>
              <w:jc w:val="right"/>
              <w:rPr>
                <w:rFonts w:ascii="Arial" w:eastAsia="Times New Roman" w:hAnsi="Arial"/>
                <w:sz w:val="20"/>
                <w:szCs w:val="20"/>
                <w:u w:val="single"/>
              </w:rPr>
            </w:pPr>
            <w:r w:rsidRPr="00E0016F">
              <w:rPr>
                <w:rFonts w:ascii="Arial" w:eastAsia="Times New Roman" w:hAnsi="Arial"/>
                <w:sz w:val="20"/>
                <w:szCs w:val="20"/>
                <w:u w:val="single"/>
              </w:rPr>
              <w:t>4</w:t>
            </w:r>
            <w:r w:rsidR="009B3937">
              <w:rPr>
                <w:rFonts w:ascii="Arial" w:eastAsia="Times New Roman" w:hAnsi="Arial"/>
                <w:sz w:val="20"/>
                <w:szCs w:val="20"/>
                <w:u w:val="single"/>
              </w:rPr>
              <w:t>47</w:t>
            </w:r>
          </w:p>
        </w:tc>
        <w:tc>
          <w:tcPr>
            <w:tcW w:w="1276" w:type="dxa"/>
            <w:vAlign w:val="bottom"/>
          </w:tcPr>
          <w:p w14:paraId="79EFA85D" w14:textId="77777777" w:rsidR="00E0016F" w:rsidRPr="004C3D88" w:rsidRDefault="00DE534A" w:rsidP="00E0016F">
            <w:pPr>
              <w:tabs>
                <w:tab w:val="decimal" w:pos="910"/>
              </w:tabs>
              <w:spacing w:after="0" w:line="240" w:lineRule="auto"/>
              <w:jc w:val="right"/>
              <w:rPr>
                <w:rFonts w:ascii="Arial" w:eastAsia="Times New Roman" w:hAnsi="Arial"/>
                <w:color w:val="000000" w:themeColor="text1"/>
                <w:sz w:val="20"/>
                <w:szCs w:val="20"/>
                <w:u w:val="single"/>
              </w:rPr>
            </w:pPr>
            <w:r>
              <w:rPr>
                <w:rFonts w:ascii="Arial" w:eastAsia="Times New Roman" w:hAnsi="Arial"/>
                <w:color w:val="000000" w:themeColor="text1"/>
                <w:sz w:val="20"/>
                <w:szCs w:val="20"/>
                <w:u w:val="single"/>
              </w:rPr>
              <w:t>576</w:t>
            </w:r>
          </w:p>
        </w:tc>
        <w:tc>
          <w:tcPr>
            <w:tcW w:w="1276" w:type="dxa"/>
            <w:vAlign w:val="bottom"/>
          </w:tcPr>
          <w:p w14:paraId="7A1AF4D6" w14:textId="77777777" w:rsidR="00E0016F" w:rsidRPr="004C3D88" w:rsidRDefault="005B0D7C" w:rsidP="00E0016F">
            <w:pPr>
              <w:tabs>
                <w:tab w:val="decimal" w:pos="910"/>
              </w:tabs>
              <w:spacing w:after="0" w:line="240" w:lineRule="auto"/>
              <w:jc w:val="right"/>
              <w:rPr>
                <w:rFonts w:ascii="Arial" w:eastAsia="Times New Roman" w:hAnsi="Arial"/>
                <w:color w:val="000000" w:themeColor="text1"/>
                <w:sz w:val="20"/>
                <w:szCs w:val="20"/>
                <w:u w:val="single"/>
              </w:rPr>
            </w:pPr>
            <w:r>
              <w:rPr>
                <w:rFonts w:ascii="Arial" w:eastAsia="Times New Roman" w:hAnsi="Arial"/>
                <w:color w:val="000000" w:themeColor="text1"/>
                <w:sz w:val="20"/>
                <w:szCs w:val="20"/>
                <w:u w:val="single"/>
              </w:rPr>
              <w:t>5</w:t>
            </w:r>
            <w:r w:rsidR="00034834">
              <w:rPr>
                <w:rFonts w:ascii="Arial" w:eastAsia="Times New Roman" w:hAnsi="Arial"/>
                <w:color w:val="000000" w:themeColor="text1"/>
                <w:sz w:val="20"/>
                <w:szCs w:val="20"/>
                <w:u w:val="single"/>
              </w:rPr>
              <w:t>54</w:t>
            </w:r>
          </w:p>
        </w:tc>
        <w:tc>
          <w:tcPr>
            <w:tcW w:w="1327" w:type="dxa"/>
            <w:vAlign w:val="bottom"/>
          </w:tcPr>
          <w:p w14:paraId="772FBC16" w14:textId="77777777" w:rsidR="00E0016F" w:rsidRPr="004C3D88" w:rsidRDefault="00034834" w:rsidP="00E0016F">
            <w:pPr>
              <w:tabs>
                <w:tab w:val="decimal" w:pos="910"/>
              </w:tabs>
              <w:spacing w:after="0" w:line="240" w:lineRule="auto"/>
              <w:jc w:val="right"/>
              <w:rPr>
                <w:rFonts w:ascii="Arial" w:eastAsia="Times New Roman" w:hAnsi="Arial"/>
                <w:color w:val="000000" w:themeColor="text1"/>
                <w:sz w:val="20"/>
                <w:szCs w:val="20"/>
                <w:u w:val="single"/>
              </w:rPr>
            </w:pPr>
            <w:r w:rsidRPr="00034834">
              <w:rPr>
                <w:rFonts w:ascii="Arial" w:eastAsia="Times New Roman" w:hAnsi="Arial"/>
                <w:color w:val="000000" w:themeColor="text1"/>
                <w:sz w:val="20"/>
                <w:szCs w:val="20"/>
                <w:u w:val="single"/>
              </w:rPr>
              <w:t>453</w:t>
            </w:r>
          </w:p>
        </w:tc>
      </w:tr>
      <w:tr w:rsidR="00E0016F" w:rsidRPr="000D57BD" w14:paraId="6D6D5695" w14:textId="77777777" w:rsidTr="004A52D7">
        <w:trPr>
          <w:cantSplit/>
        </w:trPr>
        <w:tc>
          <w:tcPr>
            <w:tcW w:w="4768" w:type="dxa"/>
          </w:tcPr>
          <w:p w14:paraId="6FBCDCDC" w14:textId="77777777" w:rsidR="00E0016F" w:rsidRPr="000D57BD" w:rsidRDefault="00E0016F" w:rsidP="00E0016F">
            <w:pPr>
              <w:keepNext/>
              <w:tabs>
                <w:tab w:val="left" w:pos="1985"/>
              </w:tabs>
              <w:spacing w:after="0" w:line="360" w:lineRule="auto"/>
              <w:jc w:val="both"/>
              <w:outlineLvl w:val="1"/>
              <w:rPr>
                <w:rFonts w:ascii="Arial" w:eastAsia="Times New Roman" w:hAnsi="Arial"/>
                <w:b/>
                <w:color w:val="000000" w:themeColor="text1"/>
                <w:sz w:val="20"/>
                <w:szCs w:val="20"/>
              </w:rPr>
            </w:pPr>
            <w:r w:rsidRPr="000D57BD">
              <w:rPr>
                <w:rFonts w:ascii="Arial" w:eastAsia="Times New Roman" w:hAnsi="Arial"/>
                <w:b/>
                <w:color w:val="000000" w:themeColor="text1"/>
                <w:sz w:val="20"/>
                <w:szCs w:val="20"/>
              </w:rPr>
              <w:t>TOTAL SUPPLIES &amp; SERVICES</w:t>
            </w:r>
          </w:p>
        </w:tc>
        <w:tc>
          <w:tcPr>
            <w:tcW w:w="1134" w:type="dxa"/>
          </w:tcPr>
          <w:p w14:paraId="3B71D3CA" w14:textId="77777777" w:rsidR="00E0016F" w:rsidRPr="00E0016F" w:rsidRDefault="00E0016F" w:rsidP="00E0016F">
            <w:pPr>
              <w:tabs>
                <w:tab w:val="decimal" w:pos="910"/>
              </w:tabs>
              <w:spacing w:after="0" w:line="240" w:lineRule="auto"/>
              <w:jc w:val="right"/>
              <w:rPr>
                <w:rFonts w:ascii="Arial" w:eastAsia="Times New Roman" w:hAnsi="Arial"/>
                <w:sz w:val="20"/>
                <w:szCs w:val="20"/>
                <w:u w:val="single"/>
              </w:rPr>
            </w:pPr>
            <w:r w:rsidRPr="00E0016F">
              <w:rPr>
                <w:rFonts w:ascii="Arial" w:eastAsia="Times New Roman" w:hAnsi="Arial"/>
                <w:sz w:val="20"/>
                <w:szCs w:val="20"/>
                <w:u w:val="single"/>
              </w:rPr>
              <w:t>4,</w:t>
            </w:r>
            <w:r w:rsidR="009B3937">
              <w:rPr>
                <w:rFonts w:ascii="Arial" w:eastAsia="Times New Roman" w:hAnsi="Arial"/>
                <w:sz w:val="20"/>
                <w:szCs w:val="20"/>
                <w:u w:val="single"/>
              </w:rPr>
              <w:t>592</w:t>
            </w:r>
          </w:p>
        </w:tc>
        <w:tc>
          <w:tcPr>
            <w:tcW w:w="1276" w:type="dxa"/>
          </w:tcPr>
          <w:p w14:paraId="18D6CD91" w14:textId="77777777" w:rsidR="00E0016F" w:rsidRPr="004C3D88" w:rsidRDefault="00C228B7" w:rsidP="00E0016F">
            <w:pPr>
              <w:tabs>
                <w:tab w:val="decimal" w:pos="910"/>
              </w:tabs>
              <w:spacing w:after="0" w:line="240" w:lineRule="auto"/>
              <w:jc w:val="right"/>
              <w:rPr>
                <w:rFonts w:ascii="Arial" w:eastAsia="Times New Roman" w:hAnsi="Arial"/>
                <w:color w:val="000000" w:themeColor="text1"/>
                <w:sz w:val="20"/>
                <w:szCs w:val="20"/>
                <w:u w:val="single"/>
              </w:rPr>
            </w:pPr>
            <w:r w:rsidRPr="004C3D88">
              <w:rPr>
                <w:rFonts w:ascii="Arial" w:eastAsia="Times New Roman" w:hAnsi="Arial"/>
                <w:color w:val="000000" w:themeColor="text1"/>
                <w:sz w:val="20"/>
                <w:szCs w:val="20"/>
                <w:u w:val="single"/>
              </w:rPr>
              <w:t>4,</w:t>
            </w:r>
            <w:r w:rsidR="00DE534A">
              <w:rPr>
                <w:rFonts w:ascii="Arial" w:eastAsia="Times New Roman" w:hAnsi="Arial"/>
                <w:color w:val="000000" w:themeColor="text1"/>
                <w:sz w:val="20"/>
                <w:szCs w:val="20"/>
                <w:u w:val="single"/>
              </w:rPr>
              <w:t>800</w:t>
            </w:r>
          </w:p>
        </w:tc>
        <w:tc>
          <w:tcPr>
            <w:tcW w:w="1276" w:type="dxa"/>
          </w:tcPr>
          <w:p w14:paraId="0398FDB5" w14:textId="77777777"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u w:val="single"/>
              </w:rPr>
            </w:pPr>
            <w:r w:rsidRPr="004C3D88">
              <w:rPr>
                <w:rFonts w:ascii="Arial" w:eastAsia="Times New Roman" w:hAnsi="Arial"/>
                <w:color w:val="000000" w:themeColor="text1"/>
                <w:sz w:val="20"/>
                <w:szCs w:val="20"/>
                <w:u w:val="single"/>
              </w:rPr>
              <w:t>4,</w:t>
            </w:r>
            <w:r w:rsidR="005B0D7C">
              <w:rPr>
                <w:rFonts w:ascii="Arial" w:eastAsia="Times New Roman" w:hAnsi="Arial"/>
                <w:color w:val="000000" w:themeColor="text1"/>
                <w:sz w:val="20"/>
                <w:szCs w:val="20"/>
                <w:u w:val="single"/>
              </w:rPr>
              <w:t>8</w:t>
            </w:r>
            <w:r w:rsidR="00034834">
              <w:rPr>
                <w:rFonts w:ascii="Arial" w:eastAsia="Times New Roman" w:hAnsi="Arial"/>
                <w:color w:val="000000" w:themeColor="text1"/>
                <w:sz w:val="20"/>
                <w:szCs w:val="20"/>
                <w:u w:val="single"/>
              </w:rPr>
              <w:t>25</w:t>
            </w:r>
          </w:p>
        </w:tc>
        <w:tc>
          <w:tcPr>
            <w:tcW w:w="1327" w:type="dxa"/>
          </w:tcPr>
          <w:p w14:paraId="1F49CDEA" w14:textId="2DF8468D"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u w:val="single"/>
              </w:rPr>
            </w:pPr>
            <w:r w:rsidRPr="004C3D88">
              <w:rPr>
                <w:rFonts w:ascii="Arial" w:eastAsia="Times New Roman" w:hAnsi="Arial"/>
                <w:color w:val="000000" w:themeColor="text1"/>
                <w:sz w:val="20"/>
                <w:szCs w:val="20"/>
                <w:u w:val="single"/>
              </w:rPr>
              <w:t>4,</w:t>
            </w:r>
            <w:r w:rsidR="002403F3">
              <w:rPr>
                <w:rFonts w:ascii="Arial" w:eastAsia="Times New Roman" w:hAnsi="Arial"/>
                <w:color w:val="000000" w:themeColor="text1"/>
                <w:sz w:val="20"/>
                <w:szCs w:val="20"/>
                <w:u w:val="single"/>
              </w:rPr>
              <w:t>772</w:t>
            </w:r>
          </w:p>
        </w:tc>
      </w:tr>
      <w:tr w:rsidR="00E0016F" w:rsidRPr="000D57BD" w14:paraId="7760509D" w14:textId="77777777" w:rsidTr="004A52D7">
        <w:trPr>
          <w:cantSplit/>
        </w:trPr>
        <w:tc>
          <w:tcPr>
            <w:tcW w:w="4768" w:type="dxa"/>
          </w:tcPr>
          <w:p w14:paraId="169F8466" w14:textId="77777777" w:rsidR="00E0016F" w:rsidRPr="000D57BD" w:rsidRDefault="00E0016F" w:rsidP="00E0016F">
            <w:pPr>
              <w:keepNext/>
              <w:tabs>
                <w:tab w:val="left" w:pos="1985"/>
              </w:tabs>
              <w:spacing w:after="0" w:line="240" w:lineRule="auto"/>
              <w:jc w:val="both"/>
              <w:outlineLvl w:val="1"/>
              <w:rPr>
                <w:rFonts w:ascii="Arial" w:eastAsia="Times New Roman" w:hAnsi="Arial"/>
                <w:b/>
                <w:color w:val="000000" w:themeColor="text1"/>
                <w:sz w:val="20"/>
                <w:szCs w:val="20"/>
              </w:rPr>
            </w:pPr>
            <w:r w:rsidRPr="000D57BD">
              <w:rPr>
                <w:rFonts w:ascii="Arial" w:eastAsia="Times New Roman" w:hAnsi="Arial"/>
                <w:b/>
                <w:color w:val="000000" w:themeColor="text1"/>
                <w:sz w:val="20"/>
                <w:szCs w:val="20"/>
              </w:rPr>
              <w:t>TRANSPORT COSTS</w:t>
            </w:r>
          </w:p>
        </w:tc>
        <w:tc>
          <w:tcPr>
            <w:tcW w:w="1134" w:type="dxa"/>
          </w:tcPr>
          <w:p w14:paraId="00A6F0AF" w14:textId="77777777" w:rsidR="00E0016F" w:rsidRPr="00E0016F" w:rsidRDefault="00E0016F" w:rsidP="00E0016F">
            <w:pPr>
              <w:tabs>
                <w:tab w:val="decimal" w:pos="910"/>
              </w:tabs>
              <w:spacing w:after="0" w:line="240" w:lineRule="auto"/>
              <w:jc w:val="right"/>
              <w:rPr>
                <w:rFonts w:ascii="Arial" w:eastAsia="Times New Roman" w:hAnsi="Arial"/>
                <w:sz w:val="20"/>
                <w:szCs w:val="20"/>
              </w:rPr>
            </w:pPr>
          </w:p>
        </w:tc>
        <w:tc>
          <w:tcPr>
            <w:tcW w:w="1276" w:type="dxa"/>
          </w:tcPr>
          <w:p w14:paraId="1F6C22D2" w14:textId="77777777" w:rsidR="00E0016F" w:rsidRPr="004C3D88" w:rsidRDefault="00E0016F" w:rsidP="00E0016F">
            <w:pPr>
              <w:tabs>
                <w:tab w:val="decimal" w:pos="910"/>
              </w:tabs>
              <w:spacing w:after="0" w:line="240" w:lineRule="auto"/>
              <w:jc w:val="right"/>
              <w:rPr>
                <w:rFonts w:ascii="Arial" w:eastAsia="Times New Roman" w:hAnsi="Arial"/>
                <w:color w:val="000000" w:themeColor="text1"/>
                <w:sz w:val="20"/>
                <w:szCs w:val="20"/>
              </w:rPr>
            </w:pPr>
          </w:p>
        </w:tc>
        <w:tc>
          <w:tcPr>
            <w:tcW w:w="1276" w:type="dxa"/>
          </w:tcPr>
          <w:p w14:paraId="1280A371" w14:textId="77777777" w:rsidR="00E0016F" w:rsidRPr="004C3D88" w:rsidRDefault="00E0016F" w:rsidP="00E0016F">
            <w:pPr>
              <w:tabs>
                <w:tab w:val="decimal" w:pos="910"/>
              </w:tabs>
              <w:spacing w:after="0" w:line="240" w:lineRule="auto"/>
              <w:jc w:val="right"/>
              <w:rPr>
                <w:rFonts w:ascii="Arial" w:eastAsia="Times New Roman" w:hAnsi="Arial"/>
                <w:color w:val="000000" w:themeColor="text1"/>
                <w:sz w:val="20"/>
                <w:szCs w:val="20"/>
              </w:rPr>
            </w:pPr>
          </w:p>
        </w:tc>
        <w:tc>
          <w:tcPr>
            <w:tcW w:w="1327" w:type="dxa"/>
          </w:tcPr>
          <w:p w14:paraId="6C0ADA29" w14:textId="77777777" w:rsidR="00E0016F" w:rsidRPr="004C3D88" w:rsidRDefault="00E0016F" w:rsidP="00E0016F">
            <w:pPr>
              <w:tabs>
                <w:tab w:val="decimal" w:pos="910"/>
              </w:tabs>
              <w:spacing w:after="0" w:line="240" w:lineRule="auto"/>
              <w:jc w:val="right"/>
              <w:rPr>
                <w:rFonts w:ascii="Arial" w:eastAsia="Times New Roman" w:hAnsi="Arial"/>
                <w:color w:val="000000" w:themeColor="text1"/>
                <w:sz w:val="20"/>
                <w:szCs w:val="20"/>
              </w:rPr>
            </w:pPr>
          </w:p>
        </w:tc>
      </w:tr>
      <w:tr w:rsidR="00E0016F" w:rsidRPr="000D57BD" w14:paraId="23B4280F" w14:textId="77777777" w:rsidTr="00957DF3">
        <w:trPr>
          <w:cantSplit/>
        </w:trPr>
        <w:tc>
          <w:tcPr>
            <w:tcW w:w="4768" w:type="dxa"/>
          </w:tcPr>
          <w:p w14:paraId="4501870E" w14:textId="77777777" w:rsidR="00E0016F" w:rsidRPr="000D57BD" w:rsidRDefault="00E0016F" w:rsidP="00E0016F">
            <w:pPr>
              <w:spacing w:after="0" w:line="240" w:lineRule="auto"/>
              <w:rPr>
                <w:rFonts w:ascii="Arial" w:eastAsia="Times New Roman" w:hAnsi="Arial"/>
                <w:color w:val="000000" w:themeColor="text1"/>
                <w:sz w:val="20"/>
                <w:szCs w:val="20"/>
              </w:rPr>
            </w:pPr>
            <w:r w:rsidRPr="000D57BD">
              <w:rPr>
                <w:rFonts w:ascii="Arial" w:eastAsia="Times New Roman" w:hAnsi="Arial"/>
                <w:color w:val="000000" w:themeColor="text1"/>
                <w:sz w:val="20"/>
                <w:szCs w:val="20"/>
              </w:rPr>
              <w:t>Repairs and Maintenance and Other Running Costs</w:t>
            </w:r>
          </w:p>
        </w:tc>
        <w:tc>
          <w:tcPr>
            <w:tcW w:w="1134" w:type="dxa"/>
            <w:vAlign w:val="bottom"/>
          </w:tcPr>
          <w:p w14:paraId="66A6ECD7" w14:textId="77777777" w:rsidR="00E0016F" w:rsidRPr="00E0016F" w:rsidRDefault="00E0016F" w:rsidP="00E0016F">
            <w:pPr>
              <w:tabs>
                <w:tab w:val="decimal" w:pos="910"/>
              </w:tabs>
              <w:spacing w:after="0" w:line="240" w:lineRule="auto"/>
              <w:jc w:val="right"/>
              <w:rPr>
                <w:rFonts w:ascii="Arial" w:eastAsia="Times New Roman" w:hAnsi="Arial"/>
                <w:sz w:val="20"/>
                <w:szCs w:val="20"/>
              </w:rPr>
            </w:pPr>
            <w:r w:rsidRPr="00E0016F">
              <w:rPr>
                <w:rFonts w:ascii="Arial" w:eastAsia="Times New Roman" w:hAnsi="Arial"/>
                <w:sz w:val="20"/>
                <w:szCs w:val="20"/>
              </w:rPr>
              <w:t>7</w:t>
            </w:r>
          </w:p>
        </w:tc>
        <w:tc>
          <w:tcPr>
            <w:tcW w:w="1276" w:type="dxa"/>
            <w:vAlign w:val="bottom"/>
          </w:tcPr>
          <w:p w14:paraId="2CD8DC42" w14:textId="77777777" w:rsidR="00E0016F" w:rsidRPr="004C3D88" w:rsidRDefault="00C228B7"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7</w:t>
            </w:r>
          </w:p>
        </w:tc>
        <w:tc>
          <w:tcPr>
            <w:tcW w:w="1276" w:type="dxa"/>
            <w:vAlign w:val="bottom"/>
          </w:tcPr>
          <w:p w14:paraId="168695E3" w14:textId="77777777"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7</w:t>
            </w:r>
          </w:p>
        </w:tc>
        <w:tc>
          <w:tcPr>
            <w:tcW w:w="1327" w:type="dxa"/>
            <w:vAlign w:val="bottom"/>
          </w:tcPr>
          <w:p w14:paraId="4430EB00" w14:textId="77777777"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7</w:t>
            </w:r>
          </w:p>
        </w:tc>
      </w:tr>
      <w:tr w:rsidR="00E0016F" w:rsidRPr="000D57BD" w14:paraId="402622A5" w14:textId="77777777" w:rsidTr="00957DF3">
        <w:trPr>
          <w:cantSplit/>
        </w:trPr>
        <w:tc>
          <w:tcPr>
            <w:tcW w:w="4768" w:type="dxa"/>
          </w:tcPr>
          <w:p w14:paraId="51717EBF" w14:textId="77777777" w:rsidR="00E0016F" w:rsidRPr="000D57BD" w:rsidRDefault="00E0016F" w:rsidP="00E0016F">
            <w:pPr>
              <w:spacing w:after="0" w:line="240" w:lineRule="auto"/>
              <w:rPr>
                <w:rFonts w:ascii="Arial" w:eastAsia="Times New Roman" w:hAnsi="Arial"/>
                <w:color w:val="000000" w:themeColor="text1"/>
                <w:sz w:val="20"/>
                <w:szCs w:val="20"/>
              </w:rPr>
            </w:pPr>
            <w:r w:rsidRPr="000D57BD">
              <w:rPr>
                <w:rFonts w:ascii="Arial" w:eastAsia="Times New Roman" w:hAnsi="Arial"/>
                <w:color w:val="000000" w:themeColor="text1"/>
                <w:sz w:val="20"/>
                <w:szCs w:val="20"/>
              </w:rPr>
              <w:t>Transport Insurance</w:t>
            </w:r>
          </w:p>
        </w:tc>
        <w:tc>
          <w:tcPr>
            <w:tcW w:w="1134" w:type="dxa"/>
            <w:vAlign w:val="bottom"/>
          </w:tcPr>
          <w:p w14:paraId="0A18412D" w14:textId="77777777" w:rsidR="00E0016F" w:rsidRPr="00E0016F" w:rsidRDefault="00E0016F" w:rsidP="00E0016F">
            <w:pPr>
              <w:tabs>
                <w:tab w:val="decimal" w:pos="910"/>
              </w:tabs>
              <w:spacing w:after="0" w:line="240" w:lineRule="auto"/>
              <w:jc w:val="right"/>
              <w:rPr>
                <w:rFonts w:ascii="Arial" w:eastAsia="Times New Roman" w:hAnsi="Arial"/>
                <w:sz w:val="20"/>
                <w:szCs w:val="20"/>
              </w:rPr>
            </w:pPr>
            <w:r w:rsidRPr="00E0016F">
              <w:rPr>
                <w:rFonts w:ascii="Arial" w:eastAsia="Times New Roman" w:hAnsi="Arial"/>
                <w:sz w:val="20"/>
                <w:szCs w:val="20"/>
              </w:rPr>
              <w:t>2</w:t>
            </w:r>
          </w:p>
        </w:tc>
        <w:tc>
          <w:tcPr>
            <w:tcW w:w="1276" w:type="dxa"/>
            <w:vAlign w:val="bottom"/>
          </w:tcPr>
          <w:p w14:paraId="5F892261" w14:textId="77777777" w:rsidR="00E0016F" w:rsidRPr="004C3D88" w:rsidRDefault="00C228B7"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2</w:t>
            </w:r>
          </w:p>
        </w:tc>
        <w:tc>
          <w:tcPr>
            <w:tcW w:w="1276" w:type="dxa"/>
            <w:vAlign w:val="bottom"/>
          </w:tcPr>
          <w:p w14:paraId="2AF8C492" w14:textId="77777777"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2</w:t>
            </w:r>
          </w:p>
        </w:tc>
        <w:tc>
          <w:tcPr>
            <w:tcW w:w="1327" w:type="dxa"/>
            <w:vAlign w:val="bottom"/>
          </w:tcPr>
          <w:p w14:paraId="2499ED02" w14:textId="77777777"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rPr>
            </w:pPr>
            <w:r w:rsidRPr="004C3D88">
              <w:rPr>
                <w:rFonts w:ascii="Arial" w:eastAsia="Times New Roman" w:hAnsi="Arial"/>
                <w:color w:val="000000" w:themeColor="text1"/>
                <w:sz w:val="20"/>
                <w:szCs w:val="20"/>
              </w:rPr>
              <w:t>2</w:t>
            </w:r>
          </w:p>
        </w:tc>
      </w:tr>
      <w:tr w:rsidR="00E0016F" w:rsidRPr="000D57BD" w14:paraId="5CCD2591" w14:textId="77777777" w:rsidTr="00957DF3">
        <w:trPr>
          <w:cantSplit/>
        </w:trPr>
        <w:tc>
          <w:tcPr>
            <w:tcW w:w="4768" w:type="dxa"/>
          </w:tcPr>
          <w:p w14:paraId="120BE145" w14:textId="77777777" w:rsidR="00E0016F" w:rsidRPr="000D57BD" w:rsidRDefault="00E0016F" w:rsidP="00E0016F">
            <w:pPr>
              <w:spacing w:after="0" w:line="240" w:lineRule="auto"/>
              <w:rPr>
                <w:rFonts w:ascii="Arial" w:eastAsia="Times New Roman" w:hAnsi="Arial"/>
                <w:color w:val="000000" w:themeColor="text1"/>
                <w:sz w:val="20"/>
                <w:szCs w:val="20"/>
              </w:rPr>
            </w:pPr>
            <w:r w:rsidRPr="000D57BD">
              <w:rPr>
                <w:rFonts w:ascii="Arial" w:eastAsia="Times New Roman" w:hAnsi="Arial"/>
                <w:color w:val="000000" w:themeColor="text1"/>
                <w:sz w:val="20"/>
                <w:szCs w:val="20"/>
              </w:rPr>
              <w:t>Car Allowances</w:t>
            </w:r>
          </w:p>
        </w:tc>
        <w:tc>
          <w:tcPr>
            <w:tcW w:w="1134" w:type="dxa"/>
            <w:vAlign w:val="bottom"/>
          </w:tcPr>
          <w:p w14:paraId="6CCDD8EC" w14:textId="77777777" w:rsidR="00E0016F" w:rsidRPr="00E0016F" w:rsidRDefault="00E0016F" w:rsidP="00E0016F">
            <w:pPr>
              <w:tabs>
                <w:tab w:val="decimal" w:pos="910"/>
              </w:tabs>
              <w:spacing w:after="0" w:line="240" w:lineRule="auto"/>
              <w:jc w:val="right"/>
              <w:rPr>
                <w:rFonts w:ascii="Arial" w:eastAsia="Times New Roman" w:hAnsi="Arial"/>
                <w:sz w:val="20"/>
                <w:szCs w:val="20"/>
                <w:u w:val="single"/>
              </w:rPr>
            </w:pPr>
            <w:r w:rsidRPr="00E0016F">
              <w:rPr>
                <w:rFonts w:ascii="Arial" w:eastAsia="Times New Roman" w:hAnsi="Arial"/>
                <w:sz w:val="20"/>
                <w:szCs w:val="20"/>
                <w:u w:val="single"/>
              </w:rPr>
              <w:t>39</w:t>
            </w:r>
          </w:p>
        </w:tc>
        <w:tc>
          <w:tcPr>
            <w:tcW w:w="1276" w:type="dxa"/>
            <w:vAlign w:val="bottom"/>
          </w:tcPr>
          <w:p w14:paraId="3007D32A" w14:textId="77777777" w:rsidR="00E0016F" w:rsidRPr="004C3D88" w:rsidRDefault="00C228B7" w:rsidP="00E0016F">
            <w:pPr>
              <w:tabs>
                <w:tab w:val="decimal" w:pos="910"/>
              </w:tabs>
              <w:spacing w:after="0" w:line="240" w:lineRule="auto"/>
              <w:jc w:val="right"/>
              <w:rPr>
                <w:rFonts w:ascii="Arial" w:eastAsia="Times New Roman" w:hAnsi="Arial"/>
                <w:color w:val="000000" w:themeColor="text1"/>
                <w:sz w:val="20"/>
                <w:szCs w:val="20"/>
                <w:u w:val="single"/>
              </w:rPr>
            </w:pPr>
            <w:r w:rsidRPr="004C3D88">
              <w:rPr>
                <w:rFonts w:ascii="Arial" w:eastAsia="Times New Roman" w:hAnsi="Arial"/>
                <w:color w:val="000000" w:themeColor="text1"/>
                <w:sz w:val="20"/>
                <w:szCs w:val="20"/>
                <w:u w:val="single"/>
              </w:rPr>
              <w:t>39</w:t>
            </w:r>
          </w:p>
        </w:tc>
        <w:tc>
          <w:tcPr>
            <w:tcW w:w="1276" w:type="dxa"/>
            <w:vAlign w:val="bottom"/>
          </w:tcPr>
          <w:p w14:paraId="373CCECC" w14:textId="77777777"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u w:val="single"/>
              </w:rPr>
            </w:pPr>
            <w:r w:rsidRPr="004C3D88">
              <w:rPr>
                <w:rFonts w:ascii="Arial" w:eastAsia="Times New Roman" w:hAnsi="Arial"/>
                <w:color w:val="000000" w:themeColor="text1"/>
                <w:sz w:val="20"/>
                <w:szCs w:val="20"/>
                <w:u w:val="single"/>
              </w:rPr>
              <w:t>39</w:t>
            </w:r>
          </w:p>
        </w:tc>
        <w:tc>
          <w:tcPr>
            <w:tcW w:w="1327" w:type="dxa"/>
            <w:vAlign w:val="bottom"/>
          </w:tcPr>
          <w:p w14:paraId="32D62819" w14:textId="77777777"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u w:val="single"/>
              </w:rPr>
            </w:pPr>
            <w:r w:rsidRPr="004C3D88">
              <w:rPr>
                <w:rFonts w:ascii="Arial" w:eastAsia="Times New Roman" w:hAnsi="Arial"/>
                <w:color w:val="000000" w:themeColor="text1"/>
                <w:sz w:val="20"/>
                <w:szCs w:val="20"/>
                <w:u w:val="single"/>
              </w:rPr>
              <w:t>39</w:t>
            </w:r>
          </w:p>
        </w:tc>
      </w:tr>
      <w:tr w:rsidR="00E0016F" w:rsidRPr="000D57BD" w14:paraId="603D88DE" w14:textId="77777777" w:rsidTr="004A52D7">
        <w:trPr>
          <w:cantSplit/>
        </w:trPr>
        <w:tc>
          <w:tcPr>
            <w:tcW w:w="4768" w:type="dxa"/>
          </w:tcPr>
          <w:p w14:paraId="45270763" w14:textId="77777777" w:rsidR="00E0016F" w:rsidRPr="000D57BD" w:rsidRDefault="00E0016F" w:rsidP="00E0016F">
            <w:pPr>
              <w:spacing w:after="0" w:line="360" w:lineRule="auto"/>
              <w:rPr>
                <w:rFonts w:ascii="Arial" w:eastAsia="Times New Roman" w:hAnsi="Arial"/>
                <w:b/>
                <w:color w:val="000000" w:themeColor="text1"/>
                <w:sz w:val="20"/>
                <w:szCs w:val="20"/>
              </w:rPr>
            </w:pPr>
            <w:r w:rsidRPr="000D57BD">
              <w:rPr>
                <w:rFonts w:ascii="Arial" w:eastAsia="Times New Roman" w:hAnsi="Arial"/>
                <w:b/>
                <w:color w:val="000000" w:themeColor="text1"/>
                <w:sz w:val="20"/>
                <w:szCs w:val="20"/>
              </w:rPr>
              <w:t>TOTAL TRANSPORT COSTS</w:t>
            </w:r>
          </w:p>
        </w:tc>
        <w:tc>
          <w:tcPr>
            <w:tcW w:w="1134" w:type="dxa"/>
          </w:tcPr>
          <w:p w14:paraId="05534765" w14:textId="77777777" w:rsidR="00E0016F" w:rsidRPr="00E0016F" w:rsidRDefault="00E0016F" w:rsidP="00E0016F">
            <w:pPr>
              <w:tabs>
                <w:tab w:val="decimal" w:pos="910"/>
              </w:tabs>
              <w:spacing w:after="0" w:line="240" w:lineRule="auto"/>
              <w:jc w:val="right"/>
              <w:rPr>
                <w:rFonts w:ascii="Arial" w:eastAsia="Times New Roman" w:hAnsi="Arial"/>
                <w:sz w:val="20"/>
                <w:szCs w:val="20"/>
                <w:u w:val="single"/>
              </w:rPr>
            </w:pPr>
            <w:r w:rsidRPr="00E0016F">
              <w:rPr>
                <w:rFonts w:ascii="Arial" w:eastAsia="Times New Roman" w:hAnsi="Arial"/>
                <w:sz w:val="20"/>
                <w:szCs w:val="20"/>
                <w:u w:val="single"/>
              </w:rPr>
              <w:t>48</w:t>
            </w:r>
          </w:p>
        </w:tc>
        <w:tc>
          <w:tcPr>
            <w:tcW w:w="1276" w:type="dxa"/>
          </w:tcPr>
          <w:p w14:paraId="66E6ACC7" w14:textId="77777777" w:rsidR="00E0016F" w:rsidRPr="004C3D88" w:rsidRDefault="00C228B7" w:rsidP="00E0016F">
            <w:pPr>
              <w:tabs>
                <w:tab w:val="decimal" w:pos="910"/>
              </w:tabs>
              <w:spacing w:after="0" w:line="240" w:lineRule="auto"/>
              <w:jc w:val="right"/>
              <w:rPr>
                <w:rFonts w:ascii="Arial" w:eastAsia="Times New Roman" w:hAnsi="Arial"/>
                <w:color w:val="000000" w:themeColor="text1"/>
                <w:sz w:val="20"/>
                <w:szCs w:val="20"/>
                <w:u w:val="single"/>
              </w:rPr>
            </w:pPr>
            <w:r w:rsidRPr="004C3D88">
              <w:rPr>
                <w:rFonts w:ascii="Arial" w:eastAsia="Times New Roman" w:hAnsi="Arial"/>
                <w:color w:val="000000" w:themeColor="text1"/>
                <w:sz w:val="20"/>
                <w:szCs w:val="20"/>
                <w:u w:val="single"/>
              </w:rPr>
              <w:t>48</w:t>
            </w:r>
          </w:p>
        </w:tc>
        <w:tc>
          <w:tcPr>
            <w:tcW w:w="1276" w:type="dxa"/>
          </w:tcPr>
          <w:p w14:paraId="3A7F4C40" w14:textId="77777777"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u w:val="single"/>
              </w:rPr>
            </w:pPr>
            <w:r w:rsidRPr="004C3D88">
              <w:rPr>
                <w:rFonts w:ascii="Arial" w:eastAsia="Times New Roman" w:hAnsi="Arial"/>
                <w:color w:val="000000" w:themeColor="text1"/>
                <w:sz w:val="20"/>
                <w:szCs w:val="20"/>
                <w:u w:val="single"/>
              </w:rPr>
              <w:t>48</w:t>
            </w:r>
          </w:p>
        </w:tc>
        <w:tc>
          <w:tcPr>
            <w:tcW w:w="1327" w:type="dxa"/>
          </w:tcPr>
          <w:p w14:paraId="409CF3B0" w14:textId="77777777"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u w:val="single"/>
              </w:rPr>
            </w:pPr>
            <w:r w:rsidRPr="004C3D88">
              <w:rPr>
                <w:rFonts w:ascii="Arial" w:eastAsia="Times New Roman" w:hAnsi="Arial"/>
                <w:color w:val="000000" w:themeColor="text1"/>
                <w:sz w:val="20"/>
                <w:szCs w:val="20"/>
                <w:u w:val="single"/>
              </w:rPr>
              <w:t>48</w:t>
            </w:r>
          </w:p>
        </w:tc>
      </w:tr>
      <w:tr w:rsidR="00E0016F" w:rsidRPr="000D57BD" w14:paraId="729A5C5C" w14:textId="77777777" w:rsidTr="004A52D7">
        <w:trPr>
          <w:cantSplit/>
        </w:trPr>
        <w:tc>
          <w:tcPr>
            <w:tcW w:w="4768" w:type="dxa"/>
          </w:tcPr>
          <w:p w14:paraId="33B89600" w14:textId="77777777" w:rsidR="00E0016F" w:rsidRPr="000D57BD" w:rsidRDefault="00E0016F" w:rsidP="00E0016F">
            <w:pPr>
              <w:spacing w:after="0" w:line="240" w:lineRule="auto"/>
              <w:rPr>
                <w:rFonts w:ascii="Arial" w:eastAsia="Times New Roman" w:hAnsi="Arial"/>
                <w:b/>
                <w:color w:val="000000" w:themeColor="text1"/>
                <w:sz w:val="20"/>
                <w:szCs w:val="20"/>
              </w:rPr>
            </w:pPr>
            <w:r w:rsidRPr="000D57BD">
              <w:rPr>
                <w:rFonts w:ascii="Arial" w:eastAsia="Times New Roman" w:hAnsi="Arial"/>
                <w:b/>
                <w:color w:val="000000" w:themeColor="text1"/>
                <w:sz w:val="20"/>
                <w:szCs w:val="20"/>
              </w:rPr>
              <w:t>THIRD PARTY PAYMENTS</w:t>
            </w:r>
          </w:p>
        </w:tc>
        <w:tc>
          <w:tcPr>
            <w:tcW w:w="1134" w:type="dxa"/>
          </w:tcPr>
          <w:p w14:paraId="4B5F4050" w14:textId="77777777" w:rsidR="00E0016F" w:rsidRPr="00E0016F" w:rsidRDefault="00E0016F" w:rsidP="00E0016F">
            <w:pPr>
              <w:tabs>
                <w:tab w:val="decimal" w:pos="910"/>
              </w:tabs>
              <w:spacing w:after="0" w:line="240" w:lineRule="auto"/>
              <w:jc w:val="right"/>
              <w:rPr>
                <w:rFonts w:ascii="Arial" w:eastAsia="Times New Roman" w:hAnsi="Arial"/>
                <w:sz w:val="20"/>
                <w:szCs w:val="20"/>
              </w:rPr>
            </w:pPr>
          </w:p>
        </w:tc>
        <w:tc>
          <w:tcPr>
            <w:tcW w:w="1276" w:type="dxa"/>
          </w:tcPr>
          <w:p w14:paraId="20330D63" w14:textId="77777777" w:rsidR="00E0016F" w:rsidRPr="004C3D88" w:rsidRDefault="00E0016F" w:rsidP="00E0016F">
            <w:pPr>
              <w:tabs>
                <w:tab w:val="decimal" w:pos="910"/>
              </w:tabs>
              <w:spacing w:after="0" w:line="240" w:lineRule="auto"/>
              <w:jc w:val="right"/>
              <w:rPr>
                <w:rFonts w:ascii="Arial" w:eastAsia="Times New Roman" w:hAnsi="Arial"/>
                <w:color w:val="000000" w:themeColor="text1"/>
                <w:sz w:val="20"/>
                <w:szCs w:val="20"/>
              </w:rPr>
            </w:pPr>
          </w:p>
        </w:tc>
        <w:tc>
          <w:tcPr>
            <w:tcW w:w="1276" w:type="dxa"/>
          </w:tcPr>
          <w:p w14:paraId="61955E03" w14:textId="77777777" w:rsidR="00E0016F" w:rsidRPr="004C3D88" w:rsidRDefault="00E0016F" w:rsidP="00E0016F">
            <w:pPr>
              <w:tabs>
                <w:tab w:val="decimal" w:pos="910"/>
              </w:tabs>
              <w:spacing w:after="0" w:line="240" w:lineRule="auto"/>
              <w:jc w:val="right"/>
              <w:rPr>
                <w:rFonts w:ascii="Arial" w:eastAsia="Times New Roman" w:hAnsi="Arial"/>
                <w:color w:val="000000" w:themeColor="text1"/>
                <w:sz w:val="20"/>
                <w:szCs w:val="20"/>
              </w:rPr>
            </w:pPr>
          </w:p>
        </w:tc>
        <w:tc>
          <w:tcPr>
            <w:tcW w:w="1327" w:type="dxa"/>
          </w:tcPr>
          <w:p w14:paraId="3A448B22" w14:textId="77777777" w:rsidR="00E0016F" w:rsidRPr="004C3D88" w:rsidRDefault="00E0016F" w:rsidP="00E0016F">
            <w:pPr>
              <w:tabs>
                <w:tab w:val="decimal" w:pos="910"/>
              </w:tabs>
              <w:spacing w:after="0" w:line="240" w:lineRule="auto"/>
              <w:jc w:val="right"/>
              <w:rPr>
                <w:rFonts w:ascii="Arial" w:eastAsia="Times New Roman" w:hAnsi="Arial"/>
                <w:color w:val="000000" w:themeColor="text1"/>
                <w:sz w:val="20"/>
                <w:szCs w:val="20"/>
              </w:rPr>
            </w:pPr>
          </w:p>
        </w:tc>
      </w:tr>
      <w:tr w:rsidR="00E0016F" w:rsidRPr="000D57BD" w14:paraId="67590F05" w14:textId="77777777" w:rsidTr="004A52D7">
        <w:trPr>
          <w:cantSplit/>
        </w:trPr>
        <w:tc>
          <w:tcPr>
            <w:tcW w:w="4768" w:type="dxa"/>
          </w:tcPr>
          <w:p w14:paraId="26D61A6D" w14:textId="77777777" w:rsidR="00E0016F" w:rsidRPr="000D57BD" w:rsidRDefault="00E0016F" w:rsidP="00E0016F">
            <w:pPr>
              <w:spacing w:after="0" w:line="240" w:lineRule="auto"/>
              <w:rPr>
                <w:rFonts w:ascii="Arial" w:eastAsia="Times New Roman" w:hAnsi="Arial"/>
                <w:color w:val="000000" w:themeColor="text1"/>
                <w:sz w:val="20"/>
                <w:szCs w:val="20"/>
              </w:rPr>
            </w:pPr>
            <w:r w:rsidRPr="000D57BD">
              <w:rPr>
                <w:rFonts w:ascii="Arial" w:eastAsia="Times New Roman" w:hAnsi="Arial"/>
                <w:color w:val="000000" w:themeColor="text1"/>
                <w:sz w:val="20"/>
                <w:szCs w:val="20"/>
              </w:rPr>
              <w:t>Voluntary Organisations</w:t>
            </w:r>
          </w:p>
        </w:tc>
        <w:tc>
          <w:tcPr>
            <w:tcW w:w="1134" w:type="dxa"/>
          </w:tcPr>
          <w:p w14:paraId="7EC09BBD" w14:textId="77777777" w:rsidR="00E0016F" w:rsidRPr="00E0016F" w:rsidRDefault="00E0016F" w:rsidP="00E0016F">
            <w:pPr>
              <w:tabs>
                <w:tab w:val="decimal" w:pos="910"/>
              </w:tabs>
              <w:spacing w:after="0" w:line="240" w:lineRule="auto"/>
              <w:jc w:val="right"/>
              <w:rPr>
                <w:rFonts w:ascii="Arial" w:eastAsia="Times New Roman" w:hAnsi="Arial"/>
                <w:sz w:val="20"/>
                <w:szCs w:val="20"/>
                <w:u w:val="single"/>
              </w:rPr>
            </w:pPr>
            <w:r w:rsidRPr="00E0016F">
              <w:rPr>
                <w:rFonts w:ascii="Arial" w:eastAsia="Times New Roman" w:hAnsi="Arial"/>
                <w:sz w:val="20"/>
                <w:szCs w:val="20"/>
                <w:u w:val="single"/>
              </w:rPr>
              <w:t>34</w:t>
            </w:r>
          </w:p>
        </w:tc>
        <w:tc>
          <w:tcPr>
            <w:tcW w:w="1276" w:type="dxa"/>
          </w:tcPr>
          <w:p w14:paraId="3E23A130" w14:textId="77777777" w:rsidR="00E0016F" w:rsidRPr="004C3D88" w:rsidRDefault="00C228B7" w:rsidP="00E0016F">
            <w:pPr>
              <w:tabs>
                <w:tab w:val="decimal" w:pos="910"/>
              </w:tabs>
              <w:spacing w:after="0" w:line="240" w:lineRule="auto"/>
              <w:jc w:val="right"/>
              <w:rPr>
                <w:rFonts w:ascii="Arial" w:eastAsia="Times New Roman" w:hAnsi="Arial"/>
                <w:color w:val="000000" w:themeColor="text1"/>
                <w:sz w:val="20"/>
                <w:szCs w:val="20"/>
                <w:u w:val="single"/>
              </w:rPr>
            </w:pPr>
            <w:r w:rsidRPr="004C3D88">
              <w:rPr>
                <w:rFonts w:ascii="Arial" w:eastAsia="Times New Roman" w:hAnsi="Arial"/>
                <w:color w:val="000000" w:themeColor="text1"/>
                <w:sz w:val="20"/>
                <w:szCs w:val="20"/>
                <w:u w:val="single"/>
              </w:rPr>
              <w:t>34</w:t>
            </w:r>
          </w:p>
        </w:tc>
        <w:tc>
          <w:tcPr>
            <w:tcW w:w="1276" w:type="dxa"/>
          </w:tcPr>
          <w:p w14:paraId="77EB8E45" w14:textId="77777777"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u w:val="single"/>
              </w:rPr>
            </w:pPr>
            <w:r w:rsidRPr="004C3D88">
              <w:rPr>
                <w:rFonts w:ascii="Arial" w:eastAsia="Times New Roman" w:hAnsi="Arial"/>
                <w:color w:val="000000" w:themeColor="text1"/>
                <w:sz w:val="20"/>
                <w:szCs w:val="20"/>
                <w:u w:val="single"/>
              </w:rPr>
              <w:t>34</w:t>
            </w:r>
          </w:p>
        </w:tc>
        <w:tc>
          <w:tcPr>
            <w:tcW w:w="1327" w:type="dxa"/>
          </w:tcPr>
          <w:p w14:paraId="22BDD31F" w14:textId="77777777"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u w:val="single"/>
              </w:rPr>
            </w:pPr>
            <w:r w:rsidRPr="004C3D88">
              <w:rPr>
                <w:rFonts w:ascii="Arial" w:eastAsia="Times New Roman" w:hAnsi="Arial"/>
                <w:color w:val="000000" w:themeColor="text1"/>
                <w:sz w:val="20"/>
                <w:szCs w:val="20"/>
                <w:u w:val="single"/>
              </w:rPr>
              <w:t>34</w:t>
            </w:r>
          </w:p>
        </w:tc>
      </w:tr>
      <w:tr w:rsidR="00E0016F" w:rsidRPr="000D57BD" w14:paraId="2107B137" w14:textId="77777777" w:rsidTr="004A52D7">
        <w:trPr>
          <w:cantSplit/>
        </w:trPr>
        <w:tc>
          <w:tcPr>
            <w:tcW w:w="4768" w:type="dxa"/>
          </w:tcPr>
          <w:p w14:paraId="5EA22CF3" w14:textId="77777777" w:rsidR="00E0016F" w:rsidRPr="000D57BD" w:rsidRDefault="00E0016F" w:rsidP="00E0016F">
            <w:pPr>
              <w:spacing w:after="0" w:line="360" w:lineRule="auto"/>
              <w:rPr>
                <w:rFonts w:ascii="Arial" w:eastAsia="Times New Roman" w:hAnsi="Arial"/>
                <w:b/>
                <w:color w:val="000000" w:themeColor="text1"/>
                <w:sz w:val="20"/>
                <w:szCs w:val="20"/>
              </w:rPr>
            </w:pPr>
            <w:r w:rsidRPr="000D57BD">
              <w:rPr>
                <w:rFonts w:ascii="Arial" w:eastAsia="Times New Roman" w:hAnsi="Arial"/>
                <w:b/>
                <w:color w:val="000000" w:themeColor="text1"/>
                <w:sz w:val="20"/>
                <w:szCs w:val="20"/>
              </w:rPr>
              <w:t>TOTAL THIRD PARTY PAYMENTS</w:t>
            </w:r>
          </w:p>
        </w:tc>
        <w:tc>
          <w:tcPr>
            <w:tcW w:w="1134" w:type="dxa"/>
          </w:tcPr>
          <w:p w14:paraId="0EA342F8" w14:textId="77777777" w:rsidR="00E0016F" w:rsidRPr="00E0016F" w:rsidRDefault="00E0016F" w:rsidP="00E0016F">
            <w:pPr>
              <w:tabs>
                <w:tab w:val="decimal" w:pos="910"/>
              </w:tabs>
              <w:spacing w:after="0" w:line="240" w:lineRule="auto"/>
              <w:jc w:val="right"/>
              <w:rPr>
                <w:rFonts w:ascii="Arial" w:eastAsia="Times New Roman" w:hAnsi="Arial"/>
                <w:sz w:val="20"/>
                <w:szCs w:val="20"/>
                <w:u w:val="single"/>
              </w:rPr>
            </w:pPr>
            <w:r w:rsidRPr="00E0016F">
              <w:rPr>
                <w:rFonts w:ascii="Arial" w:eastAsia="Times New Roman" w:hAnsi="Arial"/>
                <w:sz w:val="20"/>
                <w:szCs w:val="20"/>
                <w:u w:val="single"/>
              </w:rPr>
              <w:t>34</w:t>
            </w:r>
          </w:p>
        </w:tc>
        <w:tc>
          <w:tcPr>
            <w:tcW w:w="1276" w:type="dxa"/>
          </w:tcPr>
          <w:p w14:paraId="284CCBA8" w14:textId="77777777"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u w:val="single"/>
              </w:rPr>
            </w:pPr>
            <w:r w:rsidRPr="004C3D88">
              <w:rPr>
                <w:rFonts w:ascii="Arial" w:eastAsia="Times New Roman" w:hAnsi="Arial"/>
                <w:color w:val="000000" w:themeColor="text1"/>
                <w:sz w:val="20"/>
                <w:szCs w:val="20"/>
                <w:u w:val="single"/>
              </w:rPr>
              <w:t>34</w:t>
            </w:r>
          </w:p>
        </w:tc>
        <w:tc>
          <w:tcPr>
            <w:tcW w:w="1276" w:type="dxa"/>
          </w:tcPr>
          <w:p w14:paraId="252DC247" w14:textId="77777777"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u w:val="single"/>
              </w:rPr>
            </w:pPr>
            <w:r w:rsidRPr="004C3D88">
              <w:rPr>
                <w:rFonts w:ascii="Arial" w:eastAsia="Times New Roman" w:hAnsi="Arial"/>
                <w:color w:val="000000" w:themeColor="text1"/>
                <w:sz w:val="20"/>
                <w:szCs w:val="20"/>
                <w:u w:val="single"/>
              </w:rPr>
              <w:t>34</w:t>
            </w:r>
          </w:p>
        </w:tc>
        <w:tc>
          <w:tcPr>
            <w:tcW w:w="1327" w:type="dxa"/>
          </w:tcPr>
          <w:p w14:paraId="6782D3E4" w14:textId="77777777"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u w:val="single"/>
              </w:rPr>
            </w:pPr>
            <w:r w:rsidRPr="004C3D88">
              <w:rPr>
                <w:rFonts w:ascii="Arial" w:eastAsia="Times New Roman" w:hAnsi="Arial"/>
                <w:color w:val="000000" w:themeColor="text1"/>
                <w:sz w:val="20"/>
                <w:szCs w:val="20"/>
                <w:u w:val="single"/>
              </w:rPr>
              <w:t>34</w:t>
            </w:r>
          </w:p>
        </w:tc>
      </w:tr>
      <w:tr w:rsidR="00E0016F" w:rsidRPr="000D57BD" w14:paraId="28E72752" w14:textId="77777777" w:rsidTr="004A52D7">
        <w:trPr>
          <w:cantSplit/>
        </w:trPr>
        <w:tc>
          <w:tcPr>
            <w:tcW w:w="4768" w:type="dxa"/>
          </w:tcPr>
          <w:p w14:paraId="3F264739" w14:textId="77777777" w:rsidR="00E0016F" w:rsidRPr="000D57BD" w:rsidRDefault="00E0016F" w:rsidP="00E0016F">
            <w:pPr>
              <w:spacing w:after="0" w:line="240" w:lineRule="auto"/>
              <w:rPr>
                <w:rFonts w:ascii="Arial" w:eastAsia="Times New Roman" w:hAnsi="Arial"/>
                <w:b/>
                <w:color w:val="000000" w:themeColor="text1"/>
                <w:sz w:val="20"/>
                <w:szCs w:val="20"/>
              </w:rPr>
            </w:pPr>
            <w:r w:rsidRPr="000D57BD">
              <w:rPr>
                <w:rFonts w:ascii="Arial" w:eastAsia="Times New Roman" w:hAnsi="Arial"/>
                <w:b/>
                <w:color w:val="000000" w:themeColor="text1"/>
                <w:sz w:val="20"/>
                <w:szCs w:val="20"/>
              </w:rPr>
              <w:t>SUPPORT SERVICES</w:t>
            </w:r>
          </w:p>
        </w:tc>
        <w:tc>
          <w:tcPr>
            <w:tcW w:w="1134" w:type="dxa"/>
          </w:tcPr>
          <w:p w14:paraId="3A87310C" w14:textId="77777777" w:rsidR="00E0016F" w:rsidRPr="00E0016F" w:rsidRDefault="00E0016F" w:rsidP="00E0016F">
            <w:pPr>
              <w:tabs>
                <w:tab w:val="decimal" w:pos="910"/>
              </w:tabs>
              <w:spacing w:after="0" w:line="240" w:lineRule="auto"/>
              <w:jc w:val="right"/>
              <w:rPr>
                <w:rFonts w:ascii="Arial" w:eastAsia="Times New Roman" w:hAnsi="Arial"/>
                <w:sz w:val="20"/>
                <w:szCs w:val="20"/>
              </w:rPr>
            </w:pPr>
          </w:p>
        </w:tc>
        <w:tc>
          <w:tcPr>
            <w:tcW w:w="1276" w:type="dxa"/>
          </w:tcPr>
          <w:p w14:paraId="6F715CF1" w14:textId="77777777" w:rsidR="00E0016F" w:rsidRPr="004C3D88" w:rsidRDefault="00E0016F" w:rsidP="00E0016F">
            <w:pPr>
              <w:tabs>
                <w:tab w:val="decimal" w:pos="910"/>
              </w:tabs>
              <w:spacing w:after="0" w:line="240" w:lineRule="auto"/>
              <w:jc w:val="right"/>
              <w:rPr>
                <w:rFonts w:ascii="Arial" w:eastAsia="Times New Roman" w:hAnsi="Arial"/>
                <w:color w:val="000000" w:themeColor="text1"/>
                <w:sz w:val="20"/>
                <w:szCs w:val="20"/>
              </w:rPr>
            </w:pPr>
          </w:p>
        </w:tc>
        <w:tc>
          <w:tcPr>
            <w:tcW w:w="1276" w:type="dxa"/>
          </w:tcPr>
          <w:p w14:paraId="6B07839B" w14:textId="77777777" w:rsidR="00E0016F" w:rsidRPr="004C3D88" w:rsidRDefault="00E0016F" w:rsidP="00E0016F">
            <w:pPr>
              <w:tabs>
                <w:tab w:val="decimal" w:pos="910"/>
              </w:tabs>
              <w:spacing w:after="0" w:line="240" w:lineRule="auto"/>
              <w:jc w:val="right"/>
              <w:rPr>
                <w:rFonts w:ascii="Arial" w:eastAsia="Times New Roman" w:hAnsi="Arial"/>
                <w:color w:val="000000" w:themeColor="text1"/>
                <w:sz w:val="20"/>
                <w:szCs w:val="20"/>
              </w:rPr>
            </w:pPr>
          </w:p>
        </w:tc>
        <w:tc>
          <w:tcPr>
            <w:tcW w:w="1327" w:type="dxa"/>
          </w:tcPr>
          <w:p w14:paraId="1A50CD78" w14:textId="77777777" w:rsidR="00E0016F" w:rsidRPr="004C3D88" w:rsidRDefault="00E0016F" w:rsidP="00E0016F">
            <w:pPr>
              <w:tabs>
                <w:tab w:val="decimal" w:pos="910"/>
              </w:tabs>
              <w:spacing w:after="0" w:line="240" w:lineRule="auto"/>
              <w:jc w:val="right"/>
              <w:rPr>
                <w:rFonts w:ascii="Arial" w:eastAsia="Times New Roman" w:hAnsi="Arial"/>
                <w:color w:val="000000" w:themeColor="text1"/>
                <w:sz w:val="20"/>
                <w:szCs w:val="20"/>
              </w:rPr>
            </w:pPr>
          </w:p>
        </w:tc>
      </w:tr>
      <w:tr w:rsidR="00E0016F" w:rsidRPr="000D57BD" w14:paraId="5581F067" w14:textId="77777777" w:rsidTr="004A52D7">
        <w:trPr>
          <w:cantSplit/>
        </w:trPr>
        <w:tc>
          <w:tcPr>
            <w:tcW w:w="4768" w:type="dxa"/>
          </w:tcPr>
          <w:p w14:paraId="46DC4D81" w14:textId="77777777" w:rsidR="00E0016F" w:rsidRPr="000D57BD" w:rsidRDefault="00E0016F" w:rsidP="00E0016F">
            <w:pPr>
              <w:spacing w:after="0" w:line="240" w:lineRule="auto"/>
              <w:rPr>
                <w:rFonts w:ascii="Arial" w:eastAsia="Times New Roman" w:hAnsi="Arial"/>
                <w:b/>
                <w:color w:val="000000" w:themeColor="text1"/>
                <w:sz w:val="20"/>
                <w:szCs w:val="20"/>
              </w:rPr>
            </w:pPr>
            <w:r w:rsidRPr="000D57BD">
              <w:rPr>
                <w:rFonts w:ascii="Arial" w:eastAsia="Times New Roman" w:hAnsi="Arial"/>
                <w:color w:val="000000" w:themeColor="text1"/>
                <w:sz w:val="20"/>
                <w:szCs w:val="20"/>
              </w:rPr>
              <w:t>Recharge from Central Support Departments</w:t>
            </w:r>
          </w:p>
        </w:tc>
        <w:tc>
          <w:tcPr>
            <w:tcW w:w="1134" w:type="dxa"/>
          </w:tcPr>
          <w:p w14:paraId="0C962A1A" w14:textId="77777777" w:rsidR="00E0016F" w:rsidRPr="00E0016F" w:rsidRDefault="00E0016F" w:rsidP="00E0016F">
            <w:pPr>
              <w:tabs>
                <w:tab w:val="decimal" w:pos="910"/>
              </w:tabs>
              <w:spacing w:after="0" w:line="240" w:lineRule="auto"/>
              <w:jc w:val="right"/>
              <w:rPr>
                <w:rFonts w:ascii="Arial" w:eastAsia="Times New Roman" w:hAnsi="Arial"/>
                <w:sz w:val="20"/>
                <w:szCs w:val="20"/>
                <w:u w:val="single"/>
              </w:rPr>
            </w:pPr>
            <w:r w:rsidRPr="00E0016F">
              <w:rPr>
                <w:rFonts w:ascii="Arial" w:eastAsia="Times New Roman" w:hAnsi="Arial"/>
                <w:sz w:val="20"/>
                <w:szCs w:val="20"/>
                <w:u w:val="single"/>
              </w:rPr>
              <w:t>3,</w:t>
            </w:r>
            <w:r w:rsidR="009B3937">
              <w:rPr>
                <w:rFonts w:ascii="Arial" w:eastAsia="Times New Roman" w:hAnsi="Arial"/>
                <w:sz w:val="20"/>
                <w:szCs w:val="20"/>
                <w:u w:val="single"/>
              </w:rPr>
              <w:t>458</w:t>
            </w:r>
          </w:p>
        </w:tc>
        <w:tc>
          <w:tcPr>
            <w:tcW w:w="1276" w:type="dxa"/>
          </w:tcPr>
          <w:p w14:paraId="77D9F1EC" w14:textId="77777777" w:rsidR="00E0016F" w:rsidRPr="004C3D88" w:rsidRDefault="00C228B7" w:rsidP="00E0016F">
            <w:pPr>
              <w:tabs>
                <w:tab w:val="decimal" w:pos="910"/>
              </w:tabs>
              <w:spacing w:after="0" w:line="240" w:lineRule="auto"/>
              <w:jc w:val="right"/>
              <w:rPr>
                <w:rFonts w:ascii="Arial" w:eastAsia="Times New Roman" w:hAnsi="Arial"/>
                <w:color w:val="000000" w:themeColor="text1"/>
                <w:sz w:val="20"/>
                <w:szCs w:val="20"/>
                <w:u w:val="single"/>
              </w:rPr>
            </w:pPr>
            <w:r w:rsidRPr="004C3D88">
              <w:rPr>
                <w:rFonts w:ascii="Arial" w:eastAsia="Times New Roman" w:hAnsi="Arial"/>
                <w:color w:val="000000" w:themeColor="text1"/>
                <w:sz w:val="20"/>
                <w:szCs w:val="20"/>
                <w:u w:val="single"/>
              </w:rPr>
              <w:t>3,</w:t>
            </w:r>
            <w:r w:rsidR="00DE534A">
              <w:rPr>
                <w:rFonts w:ascii="Arial" w:eastAsia="Times New Roman" w:hAnsi="Arial"/>
                <w:color w:val="000000" w:themeColor="text1"/>
                <w:sz w:val="20"/>
                <w:szCs w:val="20"/>
                <w:u w:val="single"/>
              </w:rPr>
              <w:t>527</w:t>
            </w:r>
          </w:p>
        </w:tc>
        <w:tc>
          <w:tcPr>
            <w:tcW w:w="1276" w:type="dxa"/>
          </w:tcPr>
          <w:p w14:paraId="7F22D9B3" w14:textId="77777777"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u w:val="single"/>
              </w:rPr>
            </w:pPr>
            <w:r w:rsidRPr="004C3D88">
              <w:rPr>
                <w:rFonts w:ascii="Arial" w:eastAsia="Times New Roman" w:hAnsi="Arial"/>
                <w:color w:val="000000" w:themeColor="text1"/>
                <w:sz w:val="20"/>
                <w:szCs w:val="20"/>
                <w:u w:val="single"/>
              </w:rPr>
              <w:t>3,5</w:t>
            </w:r>
            <w:r w:rsidR="005B0D7C">
              <w:rPr>
                <w:rFonts w:ascii="Arial" w:eastAsia="Times New Roman" w:hAnsi="Arial"/>
                <w:color w:val="000000" w:themeColor="text1"/>
                <w:sz w:val="20"/>
                <w:szCs w:val="20"/>
                <w:u w:val="single"/>
              </w:rPr>
              <w:t>97</w:t>
            </w:r>
          </w:p>
        </w:tc>
        <w:tc>
          <w:tcPr>
            <w:tcW w:w="1327" w:type="dxa"/>
          </w:tcPr>
          <w:p w14:paraId="7706A8AD" w14:textId="77777777"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u w:val="single"/>
              </w:rPr>
            </w:pPr>
            <w:r w:rsidRPr="004C3D88">
              <w:rPr>
                <w:rFonts w:ascii="Arial" w:eastAsia="Times New Roman" w:hAnsi="Arial"/>
                <w:color w:val="000000" w:themeColor="text1"/>
                <w:sz w:val="20"/>
                <w:szCs w:val="20"/>
                <w:u w:val="single"/>
              </w:rPr>
              <w:t>3,</w:t>
            </w:r>
            <w:r w:rsidR="00DE0490">
              <w:rPr>
                <w:rFonts w:ascii="Arial" w:eastAsia="Times New Roman" w:hAnsi="Arial"/>
                <w:color w:val="000000" w:themeColor="text1"/>
                <w:sz w:val="20"/>
                <w:szCs w:val="20"/>
                <w:u w:val="single"/>
              </w:rPr>
              <w:t>669</w:t>
            </w:r>
          </w:p>
        </w:tc>
      </w:tr>
      <w:tr w:rsidR="00E0016F" w:rsidRPr="000D57BD" w14:paraId="41BF3FD9" w14:textId="77777777" w:rsidTr="004A52D7">
        <w:trPr>
          <w:cantSplit/>
        </w:trPr>
        <w:tc>
          <w:tcPr>
            <w:tcW w:w="4768" w:type="dxa"/>
          </w:tcPr>
          <w:p w14:paraId="74F08D7C" w14:textId="77777777" w:rsidR="00E0016F" w:rsidRPr="000D57BD" w:rsidRDefault="00E0016F" w:rsidP="00E0016F">
            <w:pPr>
              <w:spacing w:after="0" w:line="360" w:lineRule="auto"/>
              <w:rPr>
                <w:rFonts w:ascii="Arial" w:eastAsia="Times New Roman" w:hAnsi="Arial"/>
                <w:b/>
                <w:color w:val="000000" w:themeColor="text1"/>
                <w:sz w:val="20"/>
                <w:szCs w:val="20"/>
              </w:rPr>
            </w:pPr>
            <w:r w:rsidRPr="000D57BD">
              <w:rPr>
                <w:rFonts w:ascii="Arial" w:eastAsia="Times New Roman" w:hAnsi="Arial"/>
                <w:b/>
                <w:color w:val="000000" w:themeColor="text1"/>
                <w:sz w:val="20"/>
                <w:szCs w:val="20"/>
              </w:rPr>
              <w:t>TOTAL SUPPORT SERVICES</w:t>
            </w:r>
          </w:p>
        </w:tc>
        <w:tc>
          <w:tcPr>
            <w:tcW w:w="1134" w:type="dxa"/>
          </w:tcPr>
          <w:p w14:paraId="4B70C7BB" w14:textId="77777777" w:rsidR="00E0016F" w:rsidRPr="00E0016F" w:rsidRDefault="00E0016F" w:rsidP="00E0016F">
            <w:pPr>
              <w:tabs>
                <w:tab w:val="decimal" w:pos="910"/>
              </w:tabs>
              <w:spacing w:after="0" w:line="240" w:lineRule="auto"/>
              <w:jc w:val="right"/>
              <w:rPr>
                <w:rFonts w:ascii="Arial" w:eastAsia="Times New Roman" w:hAnsi="Arial"/>
                <w:sz w:val="20"/>
                <w:szCs w:val="20"/>
                <w:u w:val="single"/>
              </w:rPr>
            </w:pPr>
            <w:r w:rsidRPr="00E0016F">
              <w:rPr>
                <w:rFonts w:ascii="Arial" w:eastAsia="Times New Roman" w:hAnsi="Arial"/>
                <w:sz w:val="20"/>
                <w:szCs w:val="20"/>
                <w:u w:val="single"/>
              </w:rPr>
              <w:t>3,</w:t>
            </w:r>
            <w:r w:rsidR="009B3937">
              <w:rPr>
                <w:rFonts w:ascii="Arial" w:eastAsia="Times New Roman" w:hAnsi="Arial"/>
                <w:sz w:val="20"/>
                <w:szCs w:val="20"/>
                <w:u w:val="single"/>
              </w:rPr>
              <w:t>458</w:t>
            </w:r>
          </w:p>
        </w:tc>
        <w:tc>
          <w:tcPr>
            <w:tcW w:w="1276" w:type="dxa"/>
          </w:tcPr>
          <w:p w14:paraId="40AB2A2C" w14:textId="77777777" w:rsidR="00E0016F" w:rsidRPr="004C3D88" w:rsidRDefault="00C228B7" w:rsidP="00E0016F">
            <w:pPr>
              <w:tabs>
                <w:tab w:val="decimal" w:pos="910"/>
              </w:tabs>
              <w:spacing w:after="0" w:line="240" w:lineRule="auto"/>
              <w:jc w:val="right"/>
              <w:rPr>
                <w:rFonts w:ascii="Arial" w:eastAsia="Times New Roman" w:hAnsi="Arial"/>
                <w:color w:val="000000" w:themeColor="text1"/>
                <w:sz w:val="20"/>
                <w:szCs w:val="20"/>
                <w:u w:val="single"/>
              </w:rPr>
            </w:pPr>
            <w:r w:rsidRPr="004C3D88">
              <w:rPr>
                <w:rFonts w:ascii="Arial" w:eastAsia="Times New Roman" w:hAnsi="Arial"/>
                <w:color w:val="000000" w:themeColor="text1"/>
                <w:sz w:val="20"/>
                <w:szCs w:val="20"/>
                <w:u w:val="single"/>
              </w:rPr>
              <w:t>3,</w:t>
            </w:r>
            <w:r w:rsidR="00DE534A">
              <w:rPr>
                <w:rFonts w:ascii="Arial" w:eastAsia="Times New Roman" w:hAnsi="Arial"/>
                <w:color w:val="000000" w:themeColor="text1"/>
                <w:sz w:val="20"/>
                <w:szCs w:val="20"/>
                <w:u w:val="single"/>
              </w:rPr>
              <w:t>527</w:t>
            </w:r>
          </w:p>
        </w:tc>
        <w:tc>
          <w:tcPr>
            <w:tcW w:w="1276" w:type="dxa"/>
          </w:tcPr>
          <w:p w14:paraId="017DC0A4" w14:textId="77777777"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u w:val="single"/>
              </w:rPr>
            </w:pPr>
            <w:r w:rsidRPr="004C3D88">
              <w:rPr>
                <w:rFonts w:ascii="Arial" w:eastAsia="Times New Roman" w:hAnsi="Arial"/>
                <w:color w:val="000000" w:themeColor="text1"/>
                <w:sz w:val="20"/>
                <w:szCs w:val="20"/>
                <w:u w:val="single"/>
              </w:rPr>
              <w:t>3,5</w:t>
            </w:r>
            <w:r w:rsidR="005B0D7C">
              <w:rPr>
                <w:rFonts w:ascii="Arial" w:eastAsia="Times New Roman" w:hAnsi="Arial"/>
                <w:color w:val="000000" w:themeColor="text1"/>
                <w:sz w:val="20"/>
                <w:szCs w:val="20"/>
                <w:u w:val="single"/>
              </w:rPr>
              <w:t>97</w:t>
            </w:r>
          </w:p>
        </w:tc>
        <w:tc>
          <w:tcPr>
            <w:tcW w:w="1327" w:type="dxa"/>
          </w:tcPr>
          <w:p w14:paraId="50540135" w14:textId="77777777" w:rsidR="00E0016F" w:rsidRPr="004C3D88" w:rsidRDefault="004C3D88" w:rsidP="00E0016F">
            <w:pPr>
              <w:tabs>
                <w:tab w:val="decimal" w:pos="910"/>
              </w:tabs>
              <w:spacing w:after="0" w:line="240" w:lineRule="auto"/>
              <w:jc w:val="right"/>
              <w:rPr>
                <w:rFonts w:ascii="Arial" w:eastAsia="Times New Roman" w:hAnsi="Arial"/>
                <w:color w:val="000000" w:themeColor="text1"/>
                <w:sz w:val="20"/>
                <w:szCs w:val="20"/>
                <w:u w:val="single"/>
              </w:rPr>
            </w:pPr>
            <w:r w:rsidRPr="004C3D88">
              <w:rPr>
                <w:rFonts w:ascii="Arial" w:eastAsia="Times New Roman" w:hAnsi="Arial"/>
                <w:color w:val="000000" w:themeColor="text1"/>
                <w:sz w:val="20"/>
                <w:szCs w:val="20"/>
                <w:u w:val="single"/>
              </w:rPr>
              <w:t>3,</w:t>
            </w:r>
            <w:r w:rsidR="00DE0490">
              <w:rPr>
                <w:rFonts w:ascii="Arial" w:eastAsia="Times New Roman" w:hAnsi="Arial"/>
                <w:color w:val="000000" w:themeColor="text1"/>
                <w:sz w:val="20"/>
                <w:szCs w:val="20"/>
                <w:u w:val="single"/>
              </w:rPr>
              <w:t>669</w:t>
            </w:r>
          </w:p>
        </w:tc>
      </w:tr>
    </w:tbl>
    <w:p w14:paraId="610134DB" w14:textId="77777777" w:rsidR="004A27EE" w:rsidRPr="000D57BD" w:rsidRDefault="004A27EE" w:rsidP="004A27EE">
      <w:pPr>
        <w:spacing w:after="0" w:line="240" w:lineRule="auto"/>
        <w:jc w:val="center"/>
        <w:rPr>
          <w:rFonts w:ascii="Arial" w:eastAsia="Times New Roman" w:hAnsi="Arial"/>
          <w:b/>
          <w:color w:val="000000" w:themeColor="text1"/>
          <w:sz w:val="30"/>
          <w:szCs w:val="20"/>
          <w:u w:val="single"/>
        </w:rPr>
      </w:pPr>
      <w:r w:rsidRPr="000D57BD">
        <w:rPr>
          <w:rFonts w:ascii="Arial" w:eastAsia="Times New Roman" w:hAnsi="Arial"/>
          <w:b/>
          <w:color w:val="000000" w:themeColor="text1"/>
          <w:sz w:val="32"/>
          <w:szCs w:val="20"/>
          <w:u w:val="single"/>
        </w:rPr>
        <w:br w:type="page"/>
      </w:r>
      <w:r w:rsidRPr="000D57BD">
        <w:rPr>
          <w:rFonts w:ascii="Arial" w:eastAsia="Times New Roman" w:hAnsi="Arial"/>
          <w:b/>
          <w:color w:val="000000" w:themeColor="text1"/>
          <w:sz w:val="30"/>
          <w:szCs w:val="20"/>
          <w:u w:val="single"/>
        </w:rPr>
        <w:lastRenderedPageBreak/>
        <w:t>HOUSING REVENUE ACCOUNT</w:t>
      </w:r>
    </w:p>
    <w:p w14:paraId="0655AB46" w14:textId="77777777" w:rsidR="004A27EE" w:rsidRPr="000D57BD" w:rsidRDefault="004A27EE" w:rsidP="004A27EE">
      <w:pPr>
        <w:spacing w:after="0" w:line="240" w:lineRule="auto"/>
        <w:jc w:val="center"/>
        <w:rPr>
          <w:rFonts w:ascii="Arial" w:eastAsia="Times New Roman" w:hAnsi="Arial"/>
          <w:color w:val="000000" w:themeColor="text1"/>
          <w:sz w:val="20"/>
          <w:szCs w:val="20"/>
          <w:u w:val="single"/>
        </w:rPr>
      </w:pPr>
    </w:p>
    <w:p w14:paraId="1F985D9F" w14:textId="77777777" w:rsidR="004A27EE" w:rsidRPr="000D57BD" w:rsidRDefault="004A27EE" w:rsidP="004A27EE">
      <w:pPr>
        <w:spacing w:after="0" w:line="240" w:lineRule="auto"/>
        <w:jc w:val="center"/>
        <w:rPr>
          <w:rFonts w:ascii="Arial" w:eastAsia="Times New Roman" w:hAnsi="Arial"/>
          <w:b/>
          <w:color w:val="000000" w:themeColor="text1"/>
          <w:sz w:val="20"/>
          <w:szCs w:val="20"/>
          <w:u w:val="single"/>
        </w:rPr>
      </w:pPr>
      <w:r w:rsidRPr="000D57BD">
        <w:rPr>
          <w:rFonts w:ascii="Arial" w:eastAsia="Times New Roman" w:hAnsi="Arial"/>
          <w:b/>
          <w:color w:val="000000" w:themeColor="text1"/>
          <w:sz w:val="20"/>
          <w:szCs w:val="20"/>
          <w:u w:val="single"/>
        </w:rPr>
        <w:t>PROVISIONAL REVENUE BUDGET 20</w:t>
      </w:r>
      <w:r w:rsidR="00DE4A71" w:rsidRPr="000D57BD">
        <w:rPr>
          <w:rFonts w:ascii="Arial" w:eastAsia="Times New Roman" w:hAnsi="Arial"/>
          <w:b/>
          <w:color w:val="000000" w:themeColor="text1"/>
          <w:sz w:val="20"/>
          <w:szCs w:val="20"/>
          <w:u w:val="single"/>
        </w:rPr>
        <w:t>2</w:t>
      </w:r>
      <w:r w:rsidR="009B3937">
        <w:rPr>
          <w:rFonts w:ascii="Arial" w:eastAsia="Times New Roman" w:hAnsi="Arial"/>
          <w:b/>
          <w:color w:val="000000" w:themeColor="text1"/>
          <w:sz w:val="20"/>
          <w:szCs w:val="20"/>
          <w:u w:val="single"/>
        </w:rPr>
        <w:t>2</w:t>
      </w:r>
      <w:r w:rsidR="007F0B76" w:rsidRPr="000D57BD">
        <w:rPr>
          <w:rFonts w:ascii="Arial" w:eastAsia="Times New Roman" w:hAnsi="Arial"/>
          <w:b/>
          <w:color w:val="000000" w:themeColor="text1"/>
          <w:sz w:val="20"/>
          <w:szCs w:val="20"/>
          <w:u w:val="single"/>
        </w:rPr>
        <w:t>-</w:t>
      </w:r>
      <w:r w:rsidRPr="000D57BD">
        <w:rPr>
          <w:rFonts w:ascii="Arial" w:eastAsia="Times New Roman" w:hAnsi="Arial"/>
          <w:b/>
          <w:color w:val="000000" w:themeColor="text1"/>
          <w:sz w:val="20"/>
          <w:szCs w:val="20"/>
          <w:u w:val="single"/>
        </w:rPr>
        <w:t>20</w:t>
      </w:r>
      <w:r w:rsidR="004A52D7" w:rsidRPr="000D57BD">
        <w:rPr>
          <w:rFonts w:ascii="Arial" w:eastAsia="Times New Roman" w:hAnsi="Arial"/>
          <w:b/>
          <w:color w:val="000000" w:themeColor="text1"/>
          <w:sz w:val="20"/>
          <w:szCs w:val="20"/>
          <w:u w:val="single"/>
        </w:rPr>
        <w:t>2</w:t>
      </w:r>
      <w:r w:rsidR="009B3937">
        <w:rPr>
          <w:rFonts w:ascii="Arial" w:eastAsia="Times New Roman" w:hAnsi="Arial"/>
          <w:b/>
          <w:color w:val="000000" w:themeColor="text1"/>
          <w:sz w:val="20"/>
          <w:szCs w:val="20"/>
          <w:u w:val="single"/>
        </w:rPr>
        <w:t>5</w:t>
      </w:r>
    </w:p>
    <w:p w14:paraId="334C514A" w14:textId="77777777" w:rsidR="002A6FFB" w:rsidRPr="000D57BD" w:rsidRDefault="002A6FFB" w:rsidP="004A27EE">
      <w:pPr>
        <w:spacing w:after="0" w:line="240" w:lineRule="auto"/>
        <w:jc w:val="center"/>
        <w:rPr>
          <w:rFonts w:ascii="Arial" w:eastAsia="Times New Roman" w:hAnsi="Arial"/>
          <w:b/>
          <w:color w:val="000000" w:themeColor="text1"/>
          <w:sz w:val="20"/>
          <w:szCs w:val="20"/>
          <w:u w:val="single"/>
        </w:rPr>
      </w:pPr>
    </w:p>
    <w:tbl>
      <w:tblPr>
        <w:tblW w:w="9781" w:type="dxa"/>
        <w:tblInd w:w="-10" w:type="dxa"/>
        <w:tblLayout w:type="fixed"/>
        <w:tblCellMar>
          <w:left w:w="80" w:type="dxa"/>
          <w:right w:w="80" w:type="dxa"/>
        </w:tblCellMar>
        <w:tblLook w:val="0000" w:firstRow="0" w:lastRow="0" w:firstColumn="0" w:lastColumn="0" w:noHBand="0" w:noVBand="0"/>
      </w:tblPr>
      <w:tblGrid>
        <w:gridCol w:w="4768"/>
        <w:gridCol w:w="1134"/>
        <w:gridCol w:w="1276"/>
        <w:gridCol w:w="1276"/>
        <w:gridCol w:w="1327"/>
      </w:tblGrid>
      <w:tr w:rsidR="008F63F5" w:rsidRPr="000D57BD" w14:paraId="52478941" w14:textId="77777777" w:rsidTr="002A6FFB">
        <w:trPr>
          <w:cantSplit/>
        </w:trPr>
        <w:tc>
          <w:tcPr>
            <w:tcW w:w="4768" w:type="dxa"/>
          </w:tcPr>
          <w:p w14:paraId="11D74406" w14:textId="77777777" w:rsidR="004A52D7" w:rsidRPr="000D57BD" w:rsidRDefault="004A52D7" w:rsidP="004A52D7">
            <w:pPr>
              <w:spacing w:after="0" w:line="240" w:lineRule="auto"/>
              <w:rPr>
                <w:rFonts w:ascii="Arial" w:eastAsia="Times New Roman" w:hAnsi="Arial"/>
                <w:b/>
                <w:color w:val="000000" w:themeColor="text1"/>
                <w:sz w:val="20"/>
                <w:szCs w:val="20"/>
                <w:u w:val="single"/>
              </w:rPr>
            </w:pPr>
          </w:p>
        </w:tc>
        <w:tc>
          <w:tcPr>
            <w:tcW w:w="1134" w:type="dxa"/>
          </w:tcPr>
          <w:p w14:paraId="0A59603E" w14:textId="77777777" w:rsidR="004A52D7" w:rsidRPr="000D57BD" w:rsidRDefault="004A52D7" w:rsidP="004A52D7">
            <w:pPr>
              <w:spacing w:after="0" w:line="240" w:lineRule="auto"/>
              <w:jc w:val="right"/>
              <w:rPr>
                <w:rFonts w:ascii="Arial" w:eastAsia="Times New Roman" w:hAnsi="Arial"/>
                <w:b/>
                <w:color w:val="000000" w:themeColor="text1"/>
                <w:sz w:val="20"/>
                <w:szCs w:val="20"/>
              </w:rPr>
            </w:pPr>
            <w:r w:rsidRPr="000D57BD">
              <w:rPr>
                <w:rFonts w:ascii="Arial" w:eastAsia="Times New Roman" w:hAnsi="Arial"/>
                <w:b/>
                <w:color w:val="000000" w:themeColor="text1"/>
                <w:sz w:val="20"/>
                <w:szCs w:val="20"/>
              </w:rPr>
              <w:t>Final</w:t>
            </w:r>
          </w:p>
          <w:p w14:paraId="21CDD7A2" w14:textId="77777777" w:rsidR="004A52D7" w:rsidRPr="000D57BD" w:rsidRDefault="004A52D7" w:rsidP="004A52D7">
            <w:pPr>
              <w:spacing w:after="0" w:line="240" w:lineRule="auto"/>
              <w:jc w:val="right"/>
              <w:rPr>
                <w:rFonts w:ascii="Arial" w:eastAsia="Times New Roman" w:hAnsi="Arial"/>
                <w:b/>
                <w:color w:val="000000" w:themeColor="text1"/>
                <w:sz w:val="20"/>
                <w:szCs w:val="20"/>
              </w:rPr>
            </w:pPr>
            <w:r w:rsidRPr="000D57BD">
              <w:rPr>
                <w:rFonts w:ascii="Arial" w:eastAsia="Times New Roman" w:hAnsi="Arial"/>
                <w:b/>
                <w:color w:val="000000" w:themeColor="text1"/>
                <w:sz w:val="20"/>
                <w:szCs w:val="20"/>
              </w:rPr>
              <w:t>Revenue</w:t>
            </w:r>
          </w:p>
          <w:p w14:paraId="70D622A9" w14:textId="77777777" w:rsidR="004A52D7" w:rsidRPr="000D57BD" w:rsidRDefault="004A52D7" w:rsidP="004A52D7">
            <w:pPr>
              <w:spacing w:after="0" w:line="240" w:lineRule="auto"/>
              <w:jc w:val="right"/>
              <w:rPr>
                <w:rFonts w:ascii="Arial" w:eastAsia="Times New Roman" w:hAnsi="Arial"/>
                <w:b/>
                <w:color w:val="000000" w:themeColor="text1"/>
                <w:sz w:val="20"/>
                <w:szCs w:val="20"/>
              </w:rPr>
            </w:pPr>
            <w:r w:rsidRPr="000D57BD">
              <w:rPr>
                <w:rFonts w:ascii="Arial" w:eastAsia="Times New Roman" w:hAnsi="Arial"/>
                <w:b/>
                <w:color w:val="000000" w:themeColor="text1"/>
                <w:sz w:val="20"/>
                <w:szCs w:val="20"/>
              </w:rPr>
              <w:t>Budget</w:t>
            </w:r>
          </w:p>
        </w:tc>
        <w:tc>
          <w:tcPr>
            <w:tcW w:w="1276" w:type="dxa"/>
          </w:tcPr>
          <w:p w14:paraId="61FCB22A" w14:textId="77777777" w:rsidR="004A52D7" w:rsidRPr="000D57BD" w:rsidRDefault="004A52D7" w:rsidP="004A52D7">
            <w:pPr>
              <w:spacing w:after="0" w:line="240" w:lineRule="auto"/>
              <w:jc w:val="right"/>
              <w:rPr>
                <w:rFonts w:ascii="Arial" w:eastAsia="Times New Roman" w:hAnsi="Arial"/>
                <w:b/>
                <w:color w:val="000000" w:themeColor="text1"/>
                <w:sz w:val="20"/>
                <w:szCs w:val="20"/>
              </w:rPr>
            </w:pPr>
            <w:r w:rsidRPr="000D57BD">
              <w:rPr>
                <w:rFonts w:ascii="Arial" w:eastAsia="Times New Roman" w:hAnsi="Arial"/>
                <w:b/>
                <w:color w:val="000000" w:themeColor="text1"/>
                <w:sz w:val="20"/>
                <w:szCs w:val="20"/>
              </w:rPr>
              <w:t>Provisional</w:t>
            </w:r>
          </w:p>
          <w:p w14:paraId="364BF05E" w14:textId="77777777" w:rsidR="004A52D7" w:rsidRPr="000D57BD" w:rsidRDefault="004A52D7" w:rsidP="004A52D7">
            <w:pPr>
              <w:spacing w:after="0" w:line="240" w:lineRule="auto"/>
              <w:jc w:val="right"/>
              <w:rPr>
                <w:rFonts w:ascii="Arial" w:eastAsia="Times New Roman" w:hAnsi="Arial"/>
                <w:b/>
                <w:color w:val="000000" w:themeColor="text1"/>
                <w:sz w:val="20"/>
                <w:szCs w:val="20"/>
              </w:rPr>
            </w:pPr>
            <w:r w:rsidRPr="000D57BD">
              <w:rPr>
                <w:rFonts w:ascii="Arial" w:eastAsia="Times New Roman" w:hAnsi="Arial"/>
                <w:b/>
                <w:color w:val="000000" w:themeColor="text1"/>
                <w:sz w:val="20"/>
                <w:szCs w:val="20"/>
              </w:rPr>
              <w:t>Revenue</w:t>
            </w:r>
          </w:p>
          <w:p w14:paraId="1A510A56" w14:textId="77777777" w:rsidR="004A52D7" w:rsidRPr="000D57BD" w:rsidRDefault="004A52D7" w:rsidP="004A52D7">
            <w:pPr>
              <w:spacing w:after="0" w:line="240" w:lineRule="auto"/>
              <w:jc w:val="right"/>
              <w:rPr>
                <w:rFonts w:ascii="Arial" w:eastAsia="Times New Roman" w:hAnsi="Arial"/>
                <w:b/>
                <w:color w:val="000000" w:themeColor="text1"/>
                <w:sz w:val="20"/>
                <w:szCs w:val="20"/>
              </w:rPr>
            </w:pPr>
            <w:r w:rsidRPr="000D57BD">
              <w:rPr>
                <w:rFonts w:ascii="Arial" w:eastAsia="Times New Roman" w:hAnsi="Arial"/>
                <w:b/>
                <w:color w:val="000000" w:themeColor="text1"/>
                <w:sz w:val="20"/>
                <w:szCs w:val="20"/>
              </w:rPr>
              <w:t>Budget</w:t>
            </w:r>
          </w:p>
        </w:tc>
        <w:tc>
          <w:tcPr>
            <w:tcW w:w="1276" w:type="dxa"/>
          </w:tcPr>
          <w:p w14:paraId="320643F5" w14:textId="77777777" w:rsidR="004A52D7" w:rsidRPr="000D57BD" w:rsidRDefault="004A52D7" w:rsidP="004A52D7">
            <w:pPr>
              <w:spacing w:after="0" w:line="240" w:lineRule="auto"/>
              <w:jc w:val="right"/>
              <w:rPr>
                <w:rFonts w:ascii="Arial" w:eastAsia="Times New Roman" w:hAnsi="Arial"/>
                <w:b/>
                <w:color w:val="000000" w:themeColor="text1"/>
                <w:sz w:val="20"/>
                <w:szCs w:val="20"/>
              </w:rPr>
            </w:pPr>
            <w:r w:rsidRPr="000D57BD">
              <w:rPr>
                <w:rFonts w:ascii="Arial" w:eastAsia="Times New Roman" w:hAnsi="Arial"/>
                <w:b/>
                <w:color w:val="000000" w:themeColor="text1"/>
                <w:sz w:val="20"/>
                <w:szCs w:val="20"/>
              </w:rPr>
              <w:t>Provisional</w:t>
            </w:r>
          </w:p>
          <w:p w14:paraId="3569E91E" w14:textId="77777777" w:rsidR="004A52D7" w:rsidRPr="000D57BD" w:rsidRDefault="004A52D7" w:rsidP="004A52D7">
            <w:pPr>
              <w:spacing w:after="0" w:line="240" w:lineRule="auto"/>
              <w:jc w:val="right"/>
              <w:rPr>
                <w:rFonts w:ascii="Arial" w:eastAsia="Times New Roman" w:hAnsi="Arial"/>
                <w:b/>
                <w:color w:val="000000" w:themeColor="text1"/>
                <w:sz w:val="20"/>
                <w:szCs w:val="20"/>
              </w:rPr>
            </w:pPr>
            <w:r w:rsidRPr="000D57BD">
              <w:rPr>
                <w:rFonts w:ascii="Arial" w:eastAsia="Times New Roman" w:hAnsi="Arial"/>
                <w:b/>
                <w:color w:val="000000" w:themeColor="text1"/>
                <w:sz w:val="20"/>
                <w:szCs w:val="20"/>
              </w:rPr>
              <w:t>Revenue</w:t>
            </w:r>
          </w:p>
          <w:p w14:paraId="3B20F8F1" w14:textId="77777777" w:rsidR="004A52D7" w:rsidRPr="000D57BD" w:rsidRDefault="004A52D7" w:rsidP="004A52D7">
            <w:pPr>
              <w:spacing w:after="0" w:line="240" w:lineRule="auto"/>
              <w:jc w:val="right"/>
              <w:rPr>
                <w:rFonts w:ascii="Arial" w:eastAsia="Times New Roman" w:hAnsi="Arial"/>
                <w:b/>
                <w:color w:val="000000" w:themeColor="text1"/>
                <w:sz w:val="20"/>
                <w:szCs w:val="20"/>
              </w:rPr>
            </w:pPr>
            <w:r w:rsidRPr="000D57BD">
              <w:rPr>
                <w:rFonts w:ascii="Arial" w:eastAsia="Times New Roman" w:hAnsi="Arial"/>
                <w:b/>
                <w:color w:val="000000" w:themeColor="text1"/>
                <w:sz w:val="20"/>
                <w:szCs w:val="20"/>
              </w:rPr>
              <w:t>Budget</w:t>
            </w:r>
          </w:p>
        </w:tc>
        <w:tc>
          <w:tcPr>
            <w:tcW w:w="1327" w:type="dxa"/>
          </w:tcPr>
          <w:p w14:paraId="7AFB159B" w14:textId="77777777" w:rsidR="004A52D7" w:rsidRPr="000D57BD" w:rsidRDefault="004A52D7" w:rsidP="004A52D7">
            <w:pPr>
              <w:spacing w:after="0" w:line="240" w:lineRule="auto"/>
              <w:jc w:val="right"/>
              <w:rPr>
                <w:rFonts w:ascii="Arial" w:eastAsia="Times New Roman" w:hAnsi="Arial"/>
                <w:b/>
                <w:color w:val="000000" w:themeColor="text1"/>
                <w:sz w:val="20"/>
                <w:szCs w:val="20"/>
              </w:rPr>
            </w:pPr>
            <w:r w:rsidRPr="000D57BD">
              <w:rPr>
                <w:rFonts w:ascii="Arial" w:eastAsia="Times New Roman" w:hAnsi="Arial"/>
                <w:b/>
                <w:color w:val="000000" w:themeColor="text1"/>
                <w:sz w:val="20"/>
                <w:szCs w:val="20"/>
              </w:rPr>
              <w:t>Provisional</w:t>
            </w:r>
          </w:p>
          <w:p w14:paraId="0D78D645" w14:textId="77777777" w:rsidR="004A52D7" w:rsidRPr="000D57BD" w:rsidRDefault="004A52D7" w:rsidP="004A52D7">
            <w:pPr>
              <w:spacing w:after="0" w:line="240" w:lineRule="auto"/>
              <w:jc w:val="right"/>
              <w:rPr>
                <w:rFonts w:ascii="Arial" w:eastAsia="Times New Roman" w:hAnsi="Arial"/>
                <w:b/>
                <w:color w:val="000000" w:themeColor="text1"/>
                <w:sz w:val="20"/>
                <w:szCs w:val="20"/>
              </w:rPr>
            </w:pPr>
            <w:r w:rsidRPr="000D57BD">
              <w:rPr>
                <w:rFonts w:ascii="Arial" w:eastAsia="Times New Roman" w:hAnsi="Arial"/>
                <w:b/>
                <w:color w:val="000000" w:themeColor="text1"/>
                <w:sz w:val="20"/>
                <w:szCs w:val="20"/>
              </w:rPr>
              <w:t>Revenue</w:t>
            </w:r>
          </w:p>
          <w:p w14:paraId="6FC0CB63" w14:textId="77777777" w:rsidR="004A52D7" w:rsidRPr="000D57BD" w:rsidRDefault="004A52D7" w:rsidP="004A52D7">
            <w:pPr>
              <w:spacing w:after="0" w:line="240" w:lineRule="auto"/>
              <w:jc w:val="right"/>
              <w:rPr>
                <w:rFonts w:ascii="Arial" w:eastAsia="Times New Roman" w:hAnsi="Arial"/>
                <w:b/>
                <w:color w:val="000000" w:themeColor="text1"/>
                <w:sz w:val="20"/>
                <w:szCs w:val="20"/>
              </w:rPr>
            </w:pPr>
            <w:r w:rsidRPr="000D57BD">
              <w:rPr>
                <w:rFonts w:ascii="Arial" w:eastAsia="Times New Roman" w:hAnsi="Arial"/>
                <w:b/>
                <w:color w:val="000000" w:themeColor="text1"/>
                <w:sz w:val="20"/>
                <w:szCs w:val="20"/>
              </w:rPr>
              <w:t>Budget</w:t>
            </w:r>
          </w:p>
        </w:tc>
      </w:tr>
      <w:tr w:rsidR="008F63F5" w:rsidRPr="000D57BD" w14:paraId="029C12DC" w14:textId="77777777" w:rsidTr="002A6FFB">
        <w:trPr>
          <w:cantSplit/>
        </w:trPr>
        <w:tc>
          <w:tcPr>
            <w:tcW w:w="4768" w:type="dxa"/>
          </w:tcPr>
          <w:p w14:paraId="1D6958DC" w14:textId="77777777" w:rsidR="00A37254" w:rsidRPr="000D57BD" w:rsidRDefault="00A37254" w:rsidP="00A37254">
            <w:pPr>
              <w:spacing w:after="0" w:line="240" w:lineRule="auto"/>
              <w:rPr>
                <w:rFonts w:ascii="Arial" w:eastAsia="Times New Roman" w:hAnsi="Arial"/>
                <w:b/>
                <w:color w:val="000000" w:themeColor="text1"/>
                <w:sz w:val="20"/>
                <w:szCs w:val="20"/>
                <w:u w:val="single"/>
              </w:rPr>
            </w:pPr>
          </w:p>
        </w:tc>
        <w:tc>
          <w:tcPr>
            <w:tcW w:w="1134" w:type="dxa"/>
          </w:tcPr>
          <w:p w14:paraId="6D82A605" w14:textId="77777777" w:rsidR="00A37254" w:rsidRPr="000D57BD" w:rsidRDefault="00A37254" w:rsidP="00A37254">
            <w:pPr>
              <w:spacing w:after="0" w:line="240" w:lineRule="auto"/>
              <w:jc w:val="right"/>
              <w:rPr>
                <w:rFonts w:ascii="Arial" w:eastAsia="Times New Roman" w:hAnsi="Arial"/>
                <w:b/>
                <w:color w:val="000000" w:themeColor="text1"/>
                <w:sz w:val="20"/>
                <w:szCs w:val="20"/>
              </w:rPr>
            </w:pPr>
            <w:r w:rsidRPr="000D57BD">
              <w:rPr>
                <w:rFonts w:ascii="Arial" w:eastAsia="Times New Roman" w:hAnsi="Arial"/>
                <w:b/>
                <w:color w:val="000000" w:themeColor="text1"/>
                <w:sz w:val="20"/>
                <w:szCs w:val="20"/>
              </w:rPr>
              <w:t>20</w:t>
            </w:r>
            <w:r w:rsidR="00E0016F">
              <w:rPr>
                <w:rFonts w:ascii="Arial" w:eastAsia="Times New Roman" w:hAnsi="Arial"/>
                <w:b/>
                <w:color w:val="000000" w:themeColor="text1"/>
                <w:sz w:val="20"/>
                <w:szCs w:val="20"/>
              </w:rPr>
              <w:t>2</w:t>
            </w:r>
            <w:r w:rsidR="009B3937">
              <w:rPr>
                <w:rFonts w:ascii="Arial" w:eastAsia="Times New Roman" w:hAnsi="Arial"/>
                <w:b/>
                <w:color w:val="000000" w:themeColor="text1"/>
                <w:sz w:val="20"/>
                <w:szCs w:val="20"/>
              </w:rPr>
              <w:t>1</w:t>
            </w:r>
            <w:r w:rsidRPr="000D57BD">
              <w:rPr>
                <w:rFonts w:ascii="Arial" w:eastAsia="Times New Roman" w:hAnsi="Arial"/>
                <w:b/>
                <w:color w:val="000000" w:themeColor="text1"/>
                <w:sz w:val="20"/>
                <w:szCs w:val="20"/>
              </w:rPr>
              <w:t>/20</w:t>
            </w:r>
            <w:r w:rsidR="00DE4A71" w:rsidRPr="000D57BD">
              <w:rPr>
                <w:rFonts w:ascii="Arial" w:eastAsia="Times New Roman" w:hAnsi="Arial"/>
                <w:b/>
                <w:color w:val="000000" w:themeColor="text1"/>
                <w:sz w:val="20"/>
                <w:szCs w:val="20"/>
              </w:rPr>
              <w:t>2</w:t>
            </w:r>
            <w:r w:rsidR="009B3937">
              <w:rPr>
                <w:rFonts w:ascii="Arial" w:eastAsia="Times New Roman" w:hAnsi="Arial"/>
                <w:b/>
                <w:color w:val="000000" w:themeColor="text1"/>
                <w:sz w:val="20"/>
                <w:szCs w:val="20"/>
              </w:rPr>
              <w:t>2</w:t>
            </w:r>
          </w:p>
          <w:p w14:paraId="4827ED33" w14:textId="77777777" w:rsidR="00A37254" w:rsidRPr="000D57BD" w:rsidRDefault="00A37254" w:rsidP="00A37254">
            <w:pPr>
              <w:spacing w:after="0" w:line="240" w:lineRule="auto"/>
              <w:jc w:val="right"/>
              <w:rPr>
                <w:rFonts w:ascii="Arial" w:eastAsia="Times New Roman" w:hAnsi="Arial"/>
                <w:b/>
                <w:color w:val="000000" w:themeColor="text1"/>
                <w:sz w:val="20"/>
                <w:szCs w:val="20"/>
              </w:rPr>
            </w:pPr>
            <w:r w:rsidRPr="000D57BD">
              <w:rPr>
                <w:rFonts w:ascii="Arial" w:eastAsia="Times New Roman" w:hAnsi="Arial"/>
                <w:b/>
                <w:color w:val="000000" w:themeColor="text1"/>
                <w:sz w:val="20"/>
                <w:szCs w:val="20"/>
              </w:rPr>
              <w:t>£000</w:t>
            </w:r>
          </w:p>
        </w:tc>
        <w:tc>
          <w:tcPr>
            <w:tcW w:w="1276" w:type="dxa"/>
          </w:tcPr>
          <w:p w14:paraId="3EC3A035" w14:textId="77777777" w:rsidR="00A37254" w:rsidRPr="000D57BD" w:rsidRDefault="00A37254" w:rsidP="00A37254">
            <w:pPr>
              <w:spacing w:after="0" w:line="240" w:lineRule="auto"/>
              <w:jc w:val="right"/>
              <w:rPr>
                <w:rFonts w:ascii="Arial" w:eastAsia="Times New Roman" w:hAnsi="Arial"/>
                <w:b/>
                <w:color w:val="000000" w:themeColor="text1"/>
                <w:sz w:val="20"/>
                <w:szCs w:val="20"/>
              </w:rPr>
            </w:pPr>
            <w:r w:rsidRPr="000D57BD">
              <w:rPr>
                <w:rFonts w:ascii="Arial" w:eastAsia="Times New Roman" w:hAnsi="Arial"/>
                <w:b/>
                <w:color w:val="000000" w:themeColor="text1"/>
                <w:sz w:val="20"/>
                <w:szCs w:val="20"/>
              </w:rPr>
              <w:t>20</w:t>
            </w:r>
            <w:r w:rsidR="00DE4A71" w:rsidRPr="000D57BD">
              <w:rPr>
                <w:rFonts w:ascii="Arial" w:eastAsia="Times New Roman" w:hAnsi="Arial"/>
                <w:b/>
                <w:color w:val="000000" w:themeColor="text1"/>
                <w:sz w:val="20"/>
                <w:szCs w:val="20"/>
              </w:rPr>
              <w:t>2</w:t>
            </w:r>
            <w:r w:rsidR="009B3937">
              <w:rPr>
                <w:rFonts w:ascii="Arial" w:eastAsia="Times New Roman" w:hAnsi="Arial"/>
                <w:b/>
                <w:color w:val="000000" w:themeColor="text1"/>
                <w:sz w:val="20"/>
                <w:szCs w:val="20"/>
              </w:rPr>
              <w:t>2</w:t>
            </w:r>
            <w:r w:rsidRPr="000D57BD">
              <w:rPr>
                <w:rFonts w:ascii="Arial" w:eastAsia="Times New Roman" w:hAnsi="Arial"/>
                <w:b/>
                <w:color w:val="000000" w:themeColor="text1"/>
                <w:sz w:val="20"/>
                <w:szCs w:val="20"/>
              </w:rPr>
              <w:t>/202</w:t>
            </w:r>
            <w:r w:rsidR="009B3937">
              <w:rPr>
                <w:rFonts w:ascii="Arial" w:eastAsia="Times New Roman" w:hAnsi="Arial"/>
                <w:b/>
                <w:color w:val="000000" w:themeColor="text1"/>
                <w:sz w:val="20"/>
                <w:szCs w:val="20"/>
              </w:rPr>
              <w:t>3</w:t>
            </w:r>
          </w:p>
          <w:p w14:paraId="71E5F38F" w14:textId="77777777" w:rsidR="00A37254" w:rsidRPr="000D57BD" w:rsidRDefault="00A37254" w:rsidP="00A37254">
            <w:pPr>
              <w:spacing w:after="0" w:line="240" w:lineRule="auto"/>
              <w:jc w:val="right"/>
              <w:rPr>
                <w:rFonts w:ascii="Arial" w:eastAsia="Times New Roman" w:hAnsi="Arial"/>
                <w:b/>
                <w:color w:val="000000" w:themeColor="text1"/>
                <w:sz w:val="20"/>
                <w:szCs w:val="20"/>
              </w:rPr>
            </w:pPr>
            <w:r w:rsidRPr="000D57BD">
              <w:rPr>
                <w:rFonts w:ascii="Arial" w:eastAsia="Times New Roman" w:hAnsi="Arial"/>
                <w:b/>
                <w:color w:val="000000" w:themeColor="text1"/>
                <w:sz w:val="20"/>
                <w:szCs w:val="20"/>
              </w:rPr>
              <w:t>£000</w:t>
            </w:r>
          </w:p>
        </w:tc>
        <w:tc>
          <w:tcPr>
            <w:tcW w:w="1276" w:type="dxa"/>
          </w:tcPr>
          <w:p w14:paraId="1DBD9AC7" w14:textId="77777777" w:rsidR="00A37254" w:rsidRPr="000D57BD" w:rsidRDefault="00A37254" w:rsidP="00A37254">
            <w:pPr>
              <w:spacing w:after="0" w:line="240" w:lineRule="auto"/>
              <w:jc w:val="right"/>
              <w:rPr>
                <w:rFonts w:ascii="Arial" w:eastAsia="Times New Roman" w:hAnsi="Arial"/>
                <w:b/>
                <w:color w:val="000000" w:themeColor="text1"/>
                <w:sz w:val="20"/>
                <w:szCs w:val="20"/>
              </w:rPr>
            </w:pPr>
            <w:r w:rsidRPr="000D57BD">
              <w:rPr>
                <w:rFonts w:ascii="Arial" w:eastAsia="Times New Roman" w:hAnsi="Arial"/>
                <w:b/>
                <w:color w:val="000000" w:themeColor="text1"/>
                <w:sz w:val="20"/>
                <w:szCs w:val="20"/>
              </w:rPr>
              <w:t>202</w:t>
            </w:r>
            <w:r w:rsidR="009B3937">
              <w:rPr>
                <w:rFonts w:ascii="Arial" w:eastAsia="Times New Roman" w:hAnsi="Arial"/>
                <w:b/>
                <w:color w:val="000000" w:themeColor="text1"/>
                <w:sz w:val="20"/>
                <w:szCs w:val="20"/>
              </w:rPr>
              <w:t>3</w:t>
            </w:r>
            <w:r w:rsidRPr="000D57BD">
              <w:rPr>
                <w:rFonts w:ascii="Arial" w:eastAsia="Times New Roman" w:hAnsi="Arial"/>
                <w:b/>
                <w:color w:val="000000" w:themeColor="text1"/>
                <w:sz w:val="20"/>
                <w:szCs w:val="20"/>
              </w:rPr>
              <w:t>/</w:t>
            </w:r>
            <w:r w:rsidR="00E0016F">
              <w:rPr>
                <w:rFonts w:ascii="Arial" w:eastAsia="Times New Roman" w:hAnsi="Arial"/>
                <w:b/>
                <w:color w:val="000000" w:themeColor="text1"/>
                <w:sz w:val="20"/>
                <w:szCs w:val="20"/>
              </w:rPr>
              <w:t>2</w:t>
            </w:r>
            <w:r w:rsidRPr="000D57BD">
              <w:rPr>
                <w:rFonts w:ascii="Arial" w:eastAsia="Times New Roman" w:hAnsi="Arial"/>
                <w:b/>
                <w:color w:val="000000" w:themeColor="text1"/>
                <w:sz w:val="20"/>
                <w:szCs w:val="20"/>
              </w:rPr>
              <w:t>02</w:t>
            </w:r>
            <w:r w:rsidR="009B3937">
              <w:rPr>
                <w:rFonts w:ascii="Arial" w:eastAsia="Times New Roman" w:hAnsi="Arial"/>
                <w:b/>
                <w:color w:val="000000" w:themeColor="text1"/>
                <w:sz w:val="20"/>
                <w:szCs w:val="20"/>
              </w:rPr>
              <w:t>4</w:t>
            </w:r>
          </w:p>
          <w:p w14:paraId="0DE79871" w14:textId="77777777" w:rsidR="00A37254" w:rsidRPr="000D57BD" w:rsidRDefault="00A37254" w:rsidP="00A37254">
            <w:pPr>
              <w:spacing w:after="0" w:line="240" w:lineRule="auto"/>
              <w:jc w:val="right"/>
              <w:rPr>
                <w:rFonts w:ascii="Arial" w:eastAsia="Times New Roman" w:hAnsi="Arial"/>
                <w:b/>
                <w:color w:val="000000" w:themeColor="text1"/>
                <w:sz w:val="20"/>
                <w:szCs w:val="20"/>
              </w:rPr>
            </w:pPr>
            <w:r w:rsidRPr="000D57BD">
              <w:rPr>
                <w:rFonts w:ascii="Arial" w:eastAsia="Times New Roman" w:hAnsi="Arial"/>
                <w:b/>
                <w:color w:val="000000" w:themeColor="text1"/>
                <w:sz w:val="20"/>
                <w:szCs w:val="20"/>
              </w:rPr>
              <w:t>£000</w:t>
            </w:r>
          </w:p>
        </w:tc>
        <w:tc>
          <w:tcPr>
            <w:tcW w:w="1327" w:type="dxa"/>
          </w:tcPr>
          <w:p w14:paraId="08CFD9DB" w14:textId="77777777" w:rsidR="00A37254" w:rsidRPr="000D57BD" w:rsidRDefault="00A37254" w:rsidP="00A37254">
            <w:pPr>
              <w:spacing w:after="0" w:line="240" w:lineRule="auto"/>
              <w:jc w:val="right"/>
              <w:rPr>
                <w:rFonts w:ascii="Arial" w:eastAsia="Times New Roman" w:hAnsi="Arial"/>
                <w:b/>
                <w:color w:val="000000" w:themeColor="text1"/>
                <w:sz w:val="20"/>
                <w:szCs w:val="20"/>
              </w:rPr>
            </w:pPr>
            <w:r w:rsidRPr="000D57BD">
              <w:rPr>
                <w:rFonts w:ascii="Arial" w:eastAsia="Times New Roman" w:hAnsi="Arial"/>
                <w:b/>
                <w:color w:val="000000" w:themeColor="text1"/>
                <w:sz w:val="20"/>
                <w:szCs w:val="20"/>
              </w:rPr>
              <w:t>202</w:t>
            </w:r>
            <w:r w:rsidR="009B3937">
              <w:rPr>
                <w:rFonts w:ascii="Arial" w:eastAsia="Times New Roman" w:hAnsi="Arial"/>
                <w:b/>
                <w:color w:val="000000" w:themeColor="text1"/>
                <w:sz w:val="20"/>
                <w:szCs w:val="20"/>
              </w:rPr>
              <w:t>4</w:t>
            </w:r>
            <w:r w:rsidR="00E0016F">
              <w:rPr>
                <w:rFonts w:ascii="Arial" w:eastAsia="Times New Roman" w:hAnsi="Arial"/>
                <w:b/>
                <w:color w:val="000000" w:themeColor="text1"/>
                <w:sz w:val="20"/>
                <w:szCs w:val="20"/>
              </w:rPr>
              <w:t>/</w:t>
            </w:r>
            <w:r w:rsidRPr="000D57BD">
              <w:rPr>
                <w:rFonts w:ascii="Arial" w:eastAsia="Times New Roman" w:hAnsi="Arial"/>
                <w:b/>
                <w:color w:val="000000" w:themeColor="text1"/>
                <w:sz w:val="20"/>
                <w:szCs w:val="20"/>
              </w:rPr>
              <w:t>202</w:t>
            </w:r>
            <w:r w:rsidR="009B3937">
              <w:rPr>
                <w:rFonts w:ascii="Arial" w:eastAsia="Times New Roman" w:hAnsi="Arial"/>
                <w:b/>
                <w:color w:val="000000" w:themeColor="text1"/>
                <w:sz w:val="20"/>
                <w:szCs w:val="20"/>
              </w:rPr>
              <w:t>5</w:t>
            </w:r>
          </w:p>
          <w:p w14:paraId="28E55FE1" w14:textId="77777777" w:rsidR="00A37254" w:rsidRPr="000D57BD" w:rsidRDefault="00A37254" w:rsidP="00A37254">
            <w:pPr>
              <w:spacing w:after="0" w:line="240" w:lineRule="auto"/>
              <w:jc w:val="right"/>
              <w:rPr>
                <w:rFonts w:ascii="Arial" w:eastAsia="Times New Roman" w:hAnsi="Arial"/>
                <w:b/>
                <w:color w:val="000000" w:themeColor="text1"/>
                <w:sz w:val="20"/>
                <w:szCs w:val="20"/>
              </w:rPr>
            </w:pPr>
            <w:r w:rsidRPr="000D57BD">
              <w:rPr>
                <w:rFonts w:ascii="Arial" w:eastAsia="Times New Roman" w:hAnsi="Arial"/>
                <w:b/>
                <w:color w:val="000000" w:themeColor="text1"/>
                <w:sz w:val="20"/>
                <w:szCs w:val="20"/>
              </w:rPr>
              <w:t>£000</w:t>
            </w:r>
          </w:p>
        </w:tc>
      </w:tr>
      <w:tr w:rsidR="008F63F5" w:rsidRPr="000D57BD" w14:paraId="44571544" w14:textId="77777777" w:rsidTr="002A6FFB">
        <w:trPr>
          <w:cantSplit/>
        </w:trPr>
        <w:tc>
          <w:tcPr>
            <w:tcW w:w="4768" w:type="dxa"/>
          </w:tcPr>
          <w:p w14:paraId="388C266A" w14:textId="77777777" w:rsidR="002A6FFB" w:rsidRPr="000D57BD" w:rsidRDefault="002A6FFB" w:rsidP="004A52D7">
            <w:pPr>
              <w:spacing w:after="0" w:line="240" w:lineRule="auto"/>
              <w:rPr>
                <w:rFonts w:ascii="Arial" w:eastAsia="Times New Roman" w:hAnsi="Arial"/>
                <w:b/>
                <w:color w:val="000000" w:themeColor="text1"/>
                <w:sz w:val="20"/>
                <w:szCs w:val="20"/>
                <w:u w:val="single"/>
              </w:rPr>
            </w:pPr>
          </w:p>
        </w:tc>
        <w:tc>
          <w:tcPr>
            <w:tcW w:w="1134" w:type="dxa"/>
          </w:tcPr>
          <w:p w14:paraId="73AA7597" w14:textId="77777777" w:rsidR="002A6FFB" w:rsidRPr="000D57BD" w:rsidRDefault="002A6FFB" w:rsidP="004A52D7">
            <w:pPr>
              <w:spacing w:after="0" w:line="240" w:lineRule="auto"/>
              <w:jc w:val="right"/>
              <w:rPr>
                <w:rFonts w:ascii="Arial" w:eastAsia="Times New Roman" w:hAnsi="Arial"/>
                <w:b/>
                <w:color w:val="000000" w:themeColor="text1"/>
                <w:sz w:val="20"/>
                <w:szCs w:val="20"/>
              </w:rPr>
            </w:pPr>
          </w:p>
        </w:tc>
        <w:tc>
          <w:tcPr>
            <w:tcW w:w="1276" w:type="dxa"/>
          </w:tcPr>
          <w:p w14:paraId="6D6E24D4" w14:textId="77777777" w:rsidR="002A6FFB" w:rsidRPr="000D57BD" w:rsidRDefault="002A6FFB" w:rsidP="004A52D7">
            <w:pPr>
              <w:spacing w:after="0" w:line="240" w:lineRule="auto"/>
              <w:jc w:val="right"/>
              <w:rPr>
                <w:rFonts w:ascii="Arial" w:eastAsia="Times New Roman" w:hAnsi="Arial"/>
                <w:b/>
                <w:color w:val="000000" w:themeColor="text1"/>
                <w:sz w:val="20"/>
                <w:szCs w:val="20"/>
              </w:rPr>
            </w:pPr>
          </w:p>
        </w:tc>
        <w:tc>
          <w:tcPr>
            <w:tcW w:w="1276" w:type="dxa"/>
          </w:tcPr>
          <w:p w14:paraId="3587C656" w14:textId="77777777" w:rsidR="002A6FFB" w:rsidRPr="000D57BD" w:rsidRDefault="002A6FFB" w:rsidP="004A52D7">
            <w:pPr>
              <w:spacing w:after="0" w:line="240" w:lineRule="auto"/>
              <w:jc w:val="right"/>
              <w:rPr>
                <w:rFonts w:ascii="Arial" w:eastAsia="Times New Roman" w:hAnsi="Arial"/>
                <w:b/>
                <w:color w:val="000000" w:themeColor="text1"/>
                <w:sz w:val="20"/>
                <w:szCs w:val="20"/>
              </w:rPr>
            </w:pPr>
          </w:p>
        </w:tc>
        <w:tc>
          <w:tcPr>
            <w:tcW w:w="1327" w:type="dxa"/>
          </w:tcPr>
          <w:p w14:paraId="34D0ABAF" w14:textId="77777777" w:rsidR="002A6FFB" w:rsidRPr="000D57BD" w:rsidRDefault="002A6FFB" w:rsidP="004A52D7">
            <w:pPr>
              <w:spacing w:after="0" w:line="240" w:lineRule="auto"/>
              <w:jc w:val="right"/>
              <w:rPr>
                <w:rFonts w:ascii="Arial" w:eastAsia="Times New Roman" w:hAnsi="Arial"/>
                <w:b/>
                <w:color w:val="000000" w:themeColor="text1"/>
                <w:sz w:val="20"/>
                <w:szCs w:val="20"/>
              </w:rPr>
            </w:pPr>
          </w:p>
        </w:tc>
      </w:tr>
      <w:tr w:rsidR="002403F3" w:rsidRPr="000D57BD" w14:paraId="421D8267" w14:textId="77777777" w:rsidTr="002A6FFB">
        <w:trPr>
          <w:cantSplit/>
        </w:trPr>
        <w:tc>
          <w:tcPr>
            <w:tcW w:w="4768" w:type="dxa"/>
          </w:tcPr>
          <w:p w14:paraId="5BD7B07C" w14:textId="1135FB38" w:rsidR="002403F3" w:rsidRPr="002403F3" w:rsidRDefault="002403F3" w:rsidP="002403F3">
            <w:pPr>
              <w:spacing w:after="0" w:line="360" w:lineRule="auto"/>
              <w:rPr>
                <w:rFonts w:ascii="Arial" w:eastAsia="Times New Roman" w:hAnsi="Arial"/>
                <w:b/>
                <w:sz w:val="20"/>
                <w:szCs w:val="20"/>
              </w:rPr>
            </w:pPr>
            <w:r w:rsidRPr="002403F3">
              <w:rPr>
                <w:rFonts w:ascii="Arial" w:eastAsia="Times New Roman" w:hAnsi="Arial"/>
                <w:b/>
                <w:sz w:val="20"/>
                <w:szCs w:val="20"/>
              </w:rPr>
              <w:t>CAPITAL FINANCING COSTS</w:t>
            </w:r>
          </w:p>
        </w:tc>
        <w:tc>
          <w:tcPr>
            <w:tcW w:w="1134" w:type="dxa"/>
          </w:tcPr>
          <w:p w14:paraId="7C9A7CA1" w14:textId="3655536F" w:rsidR="002403F3" w:rsidRPr="002403F3" w:rsidRDefault="002403F3" w:rsidP="002403F3">
            <w:pPr>
              <w:tabs>
                <w:tab w:val="decimal" w:pos="800"/>
              </w:tabs>
              <w:spacing w:after="0" w:line="240" w:lineRule="auto"/>
              <w:jc w:val="right"/>
              <w:rPr>
                <w:rFonts w:ascii="Arial" w:eastAsia="Times New Roman" w:hAnsi="Arial"/>
                <w:sz w:val="20"/>
                <w:szCs w:val="20"/>
                <w:u w:val="single"/>
              </w:rPr>
            </w:pPr>
            <w:r w:rsidRPr="002403F3">
              <w:rPr>
                <w:rFonts w:ascii="Arial" w:eastAsia="Times New Roman" w:hAnsi="Arial"/>
                <w:sz w:val="20"/>
                <w:szCs w:val="20"/>
                <w:u w:val="single"/>
              </w:rPr>
              <w:t>19,329</w:t>
            </w:r>
          </w:p>
        </w:tc>
        <w:tc>
          <w:tcPr>
            <w:tcW w:w="1276" w:type="dxa"/>
          </w:tcPr>
          <w:p w14:paraId="4DAC28CB" w14:textId="5F78FA9B" w:rsidR="002403F3" w:rsidRPr="002403F3" w:rsidRDefault="002403F3" w:rsidP="002403F3">
            <w:pPr>
              <w:tabs>
                <w:tab w:val="decimal" w:pos="800"/>
              </w:tabs>
              <w:spacing w:after="0" w:line="240" w:lineRule="auto"/>
              <w:jc w:val="right"/>
              <w:rPr>
                <w:rFonts w:ascii="Arial" w:eastAsia="Times New Roman" w:hAnsi="Arial"/>
                <w:sz w:val="20"/>
                <w:szCs w:val="20"/>
                <w:u w:val="single"/>
              </w:rPr>
            </w:pPr>
            <w:r w:rsidRPr="002403F3">
              <w:rPr>
                <w:rFonts w:ascii="Arial" w:eastAsia="Times New Roman" w:hAnsi="Arial"/>
                <w:sz w:val="20"/>
                <w:szCs w:val="20"/>
                <w:u w:val="single"/>
              </w:rPr>
              <w:t>19,</w:t>
            </w:r>
            <w:r w:rsidR="003C3367">
              <w:rPr>
                <w:rFonts w:ascii="Arial" w:eastAsia="Times New Roman" w:hAnsi="Arial"/>
                <w:sz w:val="20"/>
                <w:szCs w:val="20"/>
                <w:u w:val="single"/>
              </w:rPr>
              <w:t>268</w:t>
            </w:r>
          </w:p>
        </w:tc>
        <w:tc>
          <w:tcPr>
            <w:tcW w:w="1276" w:type="dxa"/>
          </w:tcPr>
          <w:p w14:paraId="60A5DAC5" w14:textId="30D127F3" w:rsidR="002403F3" w:rsidRPr="002403F3" w:rsidRDefault="002403F3" w:rsidP="002403F3">
            <w:pPr>
              <w:tabs>
                <w:tab w:val="decimal" w:pos="800"/>
              </w:tabs>
              <w:spacing w:after="0" w:line="240" w:lineRule="auto"/>
              <w:jc w:val="right"/>
              <w:rPr>
                <w:rFonts w:ascii="Arial" w:eastAsia="Times New Roman" w:hAnsi="Arial"/>
                <w:sz w:val="20"/>
                <w:szCs w:val="20"/>
                <w:u w:val="single"/>
              </w:rPr>
            </w:pPr>
            <w:r w:rsidRPr="002403F3">
              <w:rPr>
                <w:rFonts w:ascii="Arial" w:eastAsia="Times New Roman" w:hAnsi="Arial"/>
                <w:sz w:val="20"/>
                <w:szCs w:val="20"/>
                <w:u w:val="single"/>
              </w:rPr>
              <w:t>19,</w:t>
            </w:r>
            <w:r w:rsidR="003C3367">
              <w:rPr>
                <w:rFonts w:ascii="Arial" w:eastAsia="Times New Roman" w:hAnsi="Arial"/>
                <w:sz w:val="20"/>
                <w:szCs w:val="20"/>
                <w:u w:val="single"/>
              </w:rPr>
              <w:t>472</w:t>
            </w:r>
          </w:p>
        </w:tc>
        <w:tc>
          <w:tcPr>
            <w:tcW w:w="1327" w:type="dxa"/>
          </w:tcPr>
          <w:p w14:paraId="55C6AE67" w14:textId="2C1BE2A4" w:rsidR="002403F3" w:rsidRPr="002403F3" w:rsidRDefault="002403F3" w:rsidP="002403F3">
            <w:pPr>
              <w:tabs>
                <w:tab w:val="decimal" w:pos="800"/>
              </w:tabs>
              <w:spacing w:after="0" w:line="240" w:lineRule="auto"/>
              <w:jc w:val="right"/>
              <w:rPr>
                <w:rFonts w:ascii="Arial" w:eastAsia="Times New Roman" w:hAnsi="Arial"/>
                <w:sz w:val="20"/>
                <w:szCs w:val="20"/>
                <w:u w:val="single"/>
              </w:rPr>
            </w:pPr>
            <w:r w:rsidRPr="002403F3">
              <w:rPr>
                <w:rFonts w:ascii="Arial" w:eastAsia="Times New Roman" w:hAnsi="Arial"/>
                <w:sz w:val="20"/>
                <w:szCs w:val="20"/>
                <w:u w:val="single"/>
              </w:rPr>
              <w:t>19,</w:t>
            </w:r>
            <w:r w:rsidR="003C3367">
              <w:rPr>
                <w:rFonts w:ascii="Arial" w:eastAsia="Times New Roman" w:hAnsi="Arial"/>
                <w:sz w:val="20"/>
                <w:szCs w:val="20"/>
                <w:u w:val="single"/>
              </w:rPr>
              <w:t>743</w:t>
            </w:r>
          </w:p>
        </w:tc>
      </w:tr>
      <w:tr w:rsidR="002403F3" w:rsidRPr="000D57BD" w14:paraId="66E0E573" w14:textId="77777777" w:rsidTr="002A6FFB">
        <w:trPr>
          <w:cantSplit/>
        </w:trPr>
        <w:tc>
          <w:tcPr>
            <w:tcW w:w="4768" w:type="dxa"/>
          </w:tcPr>
          <w:p w14:paraId="01209339" w14:textId="480AAB81" w:rsidR="002403F3" w:rsidRPr="002403F3" w:rsidRDefault="002403F3" w:rsidP="002403F3">
            <w:pPr>
              <w:spacing w:after="0" w:line="360" w:lineRule="auto"/>
              <w:ind w:right="-180"/>
              <w:rPr>
                <w:rFonts w:ascii="Arial" w:eastAsia="Times New Roman" w:hAnsi="Arial"/>
                <w:b/>
                <w:caps/>
                <w:sz w:val="20"/>
                <w:szCs w:val="20"/>
              </w:rPr>
            </w:pPr>
            <w:r w:rsidRPr="002403F3">
              <w:rPr>
                <w:rFonts w:ascii="Arial" w:eastAsia="Times New Roman" w:hAnsi="Arial"/>
                <w:b/>
                <w:caps/>
                <w:sz w:val="20"/>
                <w:szCs w:val="20"/>
              </w:rPr>
              <w:t>PLANNED MAINTENANCE</w:t>
            </w:r>
          </w:p>
        </w:tc>
        <w:tc>
          <w:tcPr>
            <w:tcW w:w="1134" w:type="dxa"/>
          </w:tcPr>
          <w:p w14:paraId="59BC911A" w14:textId="43BE9361" w:rsidR="002403F3" w:rsidRPr="002403F3" w:rsidRDefault="002403F3" w:rsidP="002403F3">
            <w:pPr>
              <w:tabs>
                <w:tab w:val="decimal" w:pos="800"/>
              </w:tabs>
              <w:spacing w:after="0" w:line="240" w:lineRule="auto"/>
              <w:jc w:val="right"/>
              <w:rPr>
                <w:rFonts w:ascii="Arial" w:eastAsia="Times New Roman" w:hAnsi="Arial"/>
                <w:sz w:val="20"/>
                <w:szCs w:val="20"/>
                <w:u w:val="single"/>
              </w:rPr>
            </w:pPr>
            <w:r w:rsidRPr="002403F3">
              <w:rPr>
                <w:rFonts w:ascii="Arial" w:eastAsia="Times New Roman" w:hAnsi="Arial"/>
                <w:sz w:val="20"/>
                <w:szCs w:val="20"/>
                <w:u w:val="single"/>
              </w:rPr>
              <w:t>4,338</w:t>
            </w:r>
          </w:p>
        </w:tc>
        <w:tc>
          <w:tcPr>
            <w:tcW w:w="1276" w:type="dxa"/>
          </w:tcPr>
          <w:p w14:paraId="32177068" w14:textId="159DCA47" w:rsidR="002403F3" w:rsidRPr="002403F3" w:rsidRDefault="002403F3" w:rsidP="002403F3">
            <w:pPr>
              <w:tabs>
                <w:tab w:val="decimal" w:pos="800"/>
              </w:tabs>
              <w:spacing w:after="0" w:line="240" w:lineRule="auto"/>
              <w:jc w:val="right"/>
              <w:rPr>
                <w:rFonts w:ascii="Arial" w:eastAsia="Times New Roman" w:hAnsi="Arial"/>
                <w:sz w:val="20"/>
                <w:szCs w:val="20"/>
                <w:u w:val="single"/>
              </w:rPr>
            </w:pPr>
            <w:r w:rsidRPr="002403F3">
              <w:rPr>
                <w:rFonts w:ascii="Arial" w:eastAsia="Times New Roman" w:hAnsi="Arial"/>
                <w:sz w:val="20"/>
                <w:szCs w:val="20"/>
                <w:u w:val="single"/>
              </w:rPr>
              <w:t>4,338</w:t>
            </w:r>
          </w:p>
        </w:tc>
        <w:tc>
          <w:tcPr>
            <w:tcW w:w="1276" w:type="dxa"/>
          </w:tcPr>
          <w:p w14:paraId="4840228B" w14:textId="154DD715" w:rsidR="002403F3" w:rsidRPr="002403F3" w:rsidRDefault="002403F3" w:rsidP="002403F3">
            <w:pPr>
              <w:tabs>
                <w:tab w:val="decimal" w:pos="800"/>
              </w:tabs>
              <w:spacing w:after="0" w:line="240" w:lineRule="auto"/>
              <w:jc w:val="right"/>
              <w:rPr>
                <w:rFonts w:ascii="Arial" w:eastAsia="Times New Roman" w:hAnsi="Arial"/>
                <w:sz w:val="20"/>
                <w:szCs w:val="20"/>
                <w:u w:val="single"/>
              </w:rPr>
            </w:pPr>
            <w:r w:rsidRPr="002403F3">
              <w:rPr>
                <w:rFonts w:ascii="Arial" w:eastAsia="Times New Roman" w:hAnsi="Arial"/>
                <w:sz w:val="20"/>
                <w:szCs w:val="20"/>
                <w:u w:val="single"/>
              </w:rPr>
              <w:t>4,338</w:t>
            </w:r>
          </w:p>
        </w:tc>
        <w:tc>
          <w:tcPr>
            <w:tcW w:w="1327" w:type="dxa"/>
          </w:tcPr>
          <w:p w14:paraId="5F7A0363" w14:textId="641B2A67" w:rsidR="002403F3" w:rsidRPr="002403F3" w:rsidRDefault="002403F3" w:rsidP="002403F3">
            <w:pPr>
              <w:tabs>
                <w:tab w:val="decimal" w:pos="800"/>
              </w:tabs>
              <w:spacing w:after="0" w:line="240" w:lineRule="auto"/>
              <w:jc w:val="right"/>
              <w:rPr>
                <w:rFonts w:ascii="Arial" w:eastAsia="Times New Roman" w:hAnsi="Arial"/>
                <w:sz w:val="20"/>
                <w:szCs w:val="20"/>
                <w:u w:val="single"/>
              </w:rPr>
            </w:pPr>
            <w:r w:rsidRPr="002403F3">
              <w:rPr>
                <w:rFonts w:ascii="Arial" w:eastAsia="Times New Roman" w:hAnsi="Arial"/>
                <w:sz w:val="20"/>
                <w:szCs w:val="20"/>
                <w:u w:val="single"/>
              </w:rPr>
              <w:t>4,338</w:t>
            </w:r>
          </w:p>
        </w:tc>
      </w:tr>
      <w:tr w:rsidR="002403F3" w:rsidRPr="000D57BD" w14:paraId="6E7AD188" w14:textId="77777777" w:rsidTr="002A6FFB">
        <w:trPr>
          <w:cantSplit/>
        </w:trPr>
        <w:tc>
          <w:tcPr>
            <w:tcW w:w="4768" w:type="dxa"/>
          </w:tcPr>
          <w:p w14:paraId="5CCF499D" w14:textId="26D67A23" w:rsidR="002403F3" w:rsidRPr="002403F3" w:rsidRDefault="002403F3" w:rsidP="002403F3">
            <w:pPr>
              <w:spacing w:after="0" w:line="360" w:lineRule="auto"/>
              <w:rPr>
                <w:rFonts w:ascii="Arial" w:eastAsia="Times New Roman" w:hAnsi="Arial"/>
                <w:sz w:val="20"/>
                <w:szCs w:val="20"/>
              </w:rPr>
            </w:pPr>
            <w:r w:rsidRPr="002403F3">
              <w:rPr>
                <w:rFonts w:ascii="Arial" w:eastAsia="Times New Roman" w:hAnsi="Arial"/>
                <w:b/>
                <w:sz w:val="20"/>
                <w:szCs w:val="20"/>
                <w:u w:val="single"/>
              </w:rPr>
              <w:t>TOTAL GROSS EXPENDITURE</w:t>
            </w:r>
          </w:p>
        </w:tc>
        <w:tc>
          <w:tcPr>
            <w:tcW w:w="1134" w:type="dxa"/>
          </w:tcPr>
          <w:p w14:paraId="1747E7E6" w14:textId="7C8BC8F4" w:rsidR="002403F3" w:rsidRPr="002403F3" w:rsidRDefault="002403F3" w:rsidP="002403F3">
            <w:pPr>
              <w:tabs>
                <w:tab w:val="decimal" w:pos="800"/>
              </w:tabs>
              <w:spacing w:after="0" w:line="360" w:lineRule="auto"/>
              <w:jc w:val="right"/>
              <w:rPr>
                <w:rFonts w:ascii="Arial" w:eastAsia="Times New Roman" w:hAnsi="Arial"/>
                <w:sz w:val="20"/>
                <w:szCs w:val="20"/>
                <w:u w:val="double"/>
              </w:rPr>
            </w:pPr>
            <w:r w:rsidRPr="002403F3">
              <w:rPr>
                <w:rFonts w:ascii="Arial" w:eastAsia="Times New Roman" w:hAnsi="Arial"/>
                <w:sz w:val="20"/>
                <w:szCs w:val="20"/>
                <w:u w:val="double"/>
              </w:rPr>
              <w:t>55,762</w:t>
            </w:r>
          </w:p>
        </w:tc>
        <w:tc>
          <w:tcPr>
            <w:tcW w:w="1276" w:type="dxa"/>
          </w:tcPr>
          <w:p w14:paraId="3C98308E" w14:textId="0D176B2F" w:rsidR="002403F3" w:rsidRPr="002403F3" w:rsidRDefault="002403F3" w:rsidP="002403F3">
            <w:pPr>
              <w:tabs>
                <w:tab w:val="decimal" w:pos="800"/>
              </w:tabs>
              <w:spacing w:after="0" w:line="360" w:lineRule="auto"/>
              <w:jc w:val="right"/>
              <w:rPr>
                <w:rFonts w:ascii="Arial" w:eastAsia="Times New Roman" w:hAnsi="Arial"/>
                <w:sz w:val="20"/>
                <w:szCs w:val="20"/>
                <w:u w:val="double"/>
              </w:rPr>
            </w:pPr>
            <w:r w:rsidRPr="002403F3">
              <w:rPr>
                <w:rFonts w:ascii="Arial" w:eastAsia="Times New Roman" w:hAnsi="Arial"/>
                <w:sz w:val="20"/>
                <w:szCs w:val="20"/>
                <w:u w:val="double"/>
              </w:rPr>
              <w:t>56,521</w:t>
            </w:r>
          </w:p>
        </w:tc>
        <w:tc>
          <w:tcPr>
            <w:tcW w:w="1276" w:type="dxa"/>
          </w:tcPr>
          <w:p w14:paraId="358B94CC" w14:textId="4784C924" w:rsidR="002403F3" w:rsidRPr="002403F3" w:rsidRDefault="002403F3" w:rsidP="002403F3">
            <w:pPr>
              <w:tabs>
                <w:tab w:val="decimal" w:pos="800"/>
              </w:tabs>
              <w:spacing w:after="0" w:line="360" w:lineRule="auto"/>
              <w:jc w:val="right"/>
              <w:rPr>
                <w:rFonts w:ascii="Arial" w:eastAsia="Times New Roman" w:hAnsi="Arial"/>
                <w:sz w:val="20"/>
                <w:szCs w:val="20"/>
                <w:u w:val="double"/>
              </w:rPr>
            </w:pPr>
            <w:r w:rsidRPr="002403F3">
              <w:rPr>
                <w:rFonts w:ascii="Arial" w:eastAsia="Times New Roman" w:hAnsi="Arial"/>
                <w:sz w:val="20"/>
                <w:szCs w:val="20"/>
                <w:u w:val="double"/>
              </w:rPr>
              <w:t>57,291</w:t>
            </w:r>
          </w:p>
        </w:tc>
        <w:tc>
          <w:tcPr>
            <w:tcW w:w="1327" w:type="dxa"/>
          </w:tcPr>
          <w:p w14:paraId="46D82E73" w14:textId="4F09E4C1" w:rsidR="002403F3" w:rsidRPr="002403F3" w:rsidRDefault="002403F3" w:rsidP="002403F3">
            <w:pPr>
              <w:tabs>
                <w:tab w:val="decimal" w:pos="800"/>
              </w:tabs>
              <w:spacing w:after="0" w:line="360" w:lineRule="auto"/>
              <w:jc w:val="right"/>
              <w:rPr>
                <w:rFonts w:ascii="Arial" w:eastAsia="Times New Roman" w:hAnsi="Arial"/>
                <w:sz w:val="20"/>
                <w:szCs w:val="20"/>
                <w:u w:val="double"/>
              </w:rPr>
            </w:pPr>
            <w:r w:rsidRPr="002403F3">
              <w:rPr>
                <w:rFonts w:ascii="Arial" w:eastAsia="Times New Roman" w:hAnsi="Arial"/>
                <w:sz w:val="20"/>
                <w:szCs w:val="20"/>
                <w:u w:val="double"/>
              </w:rPr>
              <w:t>58,061</w:t>
            </w:r>
          </w:p>
        </w:tc>
      </w:tr>
      <w:tr w:rsidR="002403F3" w:rsidRPr="000D57BD" w14:paraId="71ABBE72" w14:textId="77777777" w:rsidTr="002A6FFB">
        <w:trPr>
          <w:cantSplit/>
        </w:trPr>
        <w:tc>
          <w:tcPr>
            <w:tcW w:w="4768" w:type="dxa"/>
          </w:tcPr>
          <w:p w14:paraId="78C553DA" w14:textId="77777777" w:rsidR="002403F3" w:rsidRPr="002403F3" w:rsidRDefault="002403F3" w:rsidP="002403F3">
            <w:pPr>
              <w:spacing w:after="0" w:line="360" w:lineRule="auto"/>
              <w:rPr>
                <w:rFonts w:ascii="Arial" w:eastAsia="Times New Roman" w:hAnsi="Arial"/>
                <w:b/>
                <w:sz w:val="20"/>
                <w:szCs w:val="20"/>
                <w:u w:val="single"/>
              </w:rPr>
            </w:pPr>
          </w:p>
        </w:tc>
        <w:tc>
          <w:tcPr>
            <w:tcW w:w="1134" w:type="dxa"/>
          </w:tcPr>
          <w:p w14:paraId="452EBF5E" w14:textId="77777777" w:rsidR="002403F3" w:rsidRPr="002403F3" w:rsidRDefault="002403F3" w:rsidP="002403F3">
            <w:pPr>
              <w:tabs>
                <w:tab w:val="decimal" w:pos="800"/>
              </w:tabs>
              <w:spacing w:after="0" w:line="360" w:lineRule="auto"/>
              <w:jc w:val="right"/>
              <w:rPr>
                <w:rFonts w:ascii="Arial" w:eastAsia="Times New Roman" w:hAnsi="Arial"/>
                <w:sz w:val="20"/>
                <w:szCs w:val="20"/>
                <w:u w:val="double"/>
              </w:rPr>
            </w:pPr>
          </w:p>
        </w:tc>
        <w:tc>
          <w:tcPr>
            <w:tcW w:w="1276" w:type="dxa"/>
          </w:tcPr>
          <w:p w14:paraId="2D7045A7" w14:textId="77777777" w:rsidR="002403F3" w:rsidRPr="002403F3" w:rsidRDefault="002403F3" w:rsidP="002403F3">
            <w:pPr>
              <w:tabs>
                <w:tab w:val="decimal" w:pos="800"/>
              </w:tabs>
              <w:spacing w:after="0" w:line="360" w:lineRule="auto"/>
              <w:jc w:val="right"/>
              <w:rPr>
                <w:rFonts w:ascii="Arial" w:eastAsia="Times New Roman" w:hAnsi="Arial"/>
                <w:sz w:val="20"/>
                <w:szCs w:val="20"/>
                <w:u w:val="double"/>
              </w:rPr>
            </w:pPr>
          </w:p>
        </w:tc>
        <w:tc>
          <w:tcPr>
            <w:tcW w:w="1276" w:type="dxa"/>
          </w:tcPr>
          <w:p w14:paraId="472CDC9A" w14:textId="77777777" w:rsidR="002403F3" w:rsidRPr="002403F3" w:rsidRDefault="002403F3" w:rsidP="002403F3">
            <w:pPr>
              <w:tabs>
                <w:tab w:val="decimal" w:pos="800"/>
              </w:tabs>
              <w:spacing w:after="0" w:line="360" w:lineRule="auto"/>
              <w:jc w:val="right"/>
              <w:rPr>
                <w:rFonts w:ascii="Arial" w:eastAsia="Times New Roman" w:hAnsi="Arial"/>
                <w:sz w:val="20"/>
                <w:szCs w:val="20"/>
                <w:u w:val="double"/>
              </w:rPr>
            </w:pPr>
          </w:p>
        </w:tc>
        <w:tc>
          <w:tcPr>
            <w:tcW w:w="1327" w:type="dxa"/>
          </w:tcPr>
          <w:p w14:paraId="1F17DDFC" w14:textId="77777777" w:rsidR="002403F3" w:rsidRPr="002403F3" w:rsidRDefault="002403F3" w:rsidP="002403F3">
            <w:pPr>
              <w:tabs>
                <w:tab w:val="decimal" w:pos="800"/>
              </w:tabs>
              <w:spacing w:after="0" w:line="360" w:lineRule="auto"/>
              <w:jc w:val="right"/>
              <w:rPr>
                <w:rFonts w:ascii="Arial" w:eastAsia="Times New Roman" w:hAnsi="Arial"/>
                <w:sz w:val="20"/>
                <w:szCs w:val="20"/>
                <w:u w:val="double"/>
              </w:rPr>
            </w:pPr>
          </w:p>
        </w:tc>
      </w:tr>
      <w:tr w:rsidR="002403F3" w:rsidRPr="000D57BD" w14:paraId="4AA8BD1B" w14:textId="77777777" w:rsidTr="002A6FFB">
        <w:trPr>
          <w:cantSplit/>
        </w:trPr>
        <w:tc>
          <w:tcPr>
            <w:tcW w:w="4768" w:type="dxa"/>
          </w:tcPr>
          <w:p w14:paraId="64B61A91" w14:textId="268E41FA" w:rsidR="002403F3" w:rsidRPr="002403F3" w:rsidRDefault="002403F3" w:rsidP="002403F3">
            <w:pPr>
              <w:spacing w:after="0" w:line="240" w:lineRule="auto"/>
              <w:rPr>
                <w:rFonts w:ascii="Arial" w:eastAsia="Times New Roman" w:hAnsi="Arial"/>
                <w:b/>
                <w:sz w:val="20"/>
                <w:szCs w:val="20"/>
                <w:u w:val="single"/>
              </w:rPr>
            </w:pPr>
            <w:r w:rsidRPr="002403F3">
              <w:rPr>
                <w:rFonts w:ascii="Arial" w:eastAsia="Times New Roman" w:hAnsi="Arial"/>
                <w:b/>
                <w:sz w:val="20"/>
                <w:szCs w:val="20"/>
                <w:u w:val="single"/>
              </w:rPr>
              <w:t>INCOME</w:t>
            </w:r>
          </w:p>
        </w:tc>
        <w:tc>
          <w:tcPr>
            <w:tcW w:w="1134" w:type="dxa"/>
          </w:tcPr>
          <w:p w14:paraId="39260FF5" w14:textId="77777777" w:rsidR="002403F3" w:rsidRPr="002403F3" w:rsidRDefault="002403F3" w:rsidP="002403F3">
            <w:pPr>
              <w:tabs>
                <w:tab w:val="decimal" w:pos="800"/>
              </w:tabs>
              <w:spacing w:after="0" w:line="240" w:lineRule="auto"/>
              <w:jc w:val="right"/>
              <w:rPr>
                <w:rFonts w:ascii="Arial" w:eastAsia="Times New Roman" w:hAnsi="Arial"/>
                <w:sz w:val="20"/>
                <w:szCs w:val="20"/>
              </w:rPr>
            </w:pPr>
          </w:p>
        </w:tc>
        <w:tc>
          <w:tcPr>
            <w:tcW w:w="1276" w:type="dxa"/>
          </w:tcPr>
          <w:p w14:paraId="043EF755" w14:textId="77777777" w:rsidR="002403F3" w:rsidRPr="002403F3" w:rsidRDefault="002403F3" w:rsidP="002403F3">
            <w:pPr>
              <w:tabs>
                <w:tab w:val="decimal" w:pos="800"/>
              </w:tabs>
              <w:spacing w:after="0" w:line="240" w:lineRule="auto"/>
              <w:jc w:val="right"/>
              <w:rPr>
                <w:rFonts w:ascii="Arial" w:eastAsia="Times New Roman" w:hAnsi="Arial"/>
                <w:sz w:val="20"/>
                <w:szCs w:val="20"/>
              </w:rPr>
            </w:pPr>
          </w:p>
        </w:tc>
        <w:tc>
          <w:tcPr>
            <w:tcW w:w="1276" w:type="dxa"/>
          </w:tcPr>
          <w:p w14:paraId="7EA33CBC" w14:textId="77777777" w:rsidR="002403F3" w:rsidRPr="002403F3" w:rsidRDefault="002403F3" w:rsidP="002403F3">
            <w:pPr>
              <w:tabs>
                <w:tab w:val="decimal" w:pos="800"/>
              </w:tabs>
              <w:spacing w:after="0" w:line="240" w:lineRule="auto"/>
              <w:jc w:val="right"/>
              <w:rPr>
                <w:rFonts w:ascii="Arial" w:eastAsia="Times New Roman" w:hAnsi="Arial"/>
                <w:sz w:val="20"/>
                <w:szCs w:val="20"/>
              </w:rPr>
            </w:pPr>
          </w:p>
        </w:tc>
        <w:tc>
          <w:tcPr>
            <w:tcW w:w="1327" w:type="dxa"/>
          </w:tcPr>
          <w:p w14:paraId="575DF5BA" w14:textId="77777777" w:rsidR="002403F3" w:rsidRPr="002403F3" w:rsidRDefault="002403F3" w:rsidP="002403F3">
            <w:pPr>
              <w:tabs>
                <w:tab w:val="decimal" w:pos="800"/>
              </w:tabs>
              <w:spacing w:after="0" w:line="240" w:lineRule="auto"/>
              <w:jc w:val="right"/>
              <w:rPr>
                <w:rFonts w:ascii="Arial" w:eastAsia="Times New Roman" w:hAnsi="Arial"/>
                <w:sz w:val="20"/>
                <w:szCs w:val="20"/>
              </w:rPr>
            </w:pPr>
          </w:p>
        </w:tc>
      </w:tr>
      <w:tr w:rsidR="002403F3" w:rsidRPr="000D57BD" w14:paraId="613A920F" w14:textId="77777777" w:rsidTr="00957DF3">
        <w:trPr>
          <w:cantSplit/>
        </w:trPr>
        <w:tc>
          <w:tcPr>
            <w:tcW w:w="4768" w:type="dxa"/>
          </w:tcPr>
          <w:p w14:paraId="466B9B29" w14:textId="3ABF8ED3" w:rsidR="002403F3" w:rsidRPr="002403F3" w:rsidRDefault="002403F3" w:rsidP="002403F3">
            <w:pPr>
              <w:spacing w:after="0" w:line="240" w:lineRule="auto"/>
              <w:rPr>
                <w:rFonts w:ascii="Arial" w:eastAsia="Times New Roman" w:hAnsi="Arial"/>
                <w:sz w:val="20"/>
                <w:szCs w:val="20"/>
              </w:rPr>
            </w:pPr>
            <w:r w:rsidRPr="002403F3">
              <w:rPr>
                <w:rFonts w:ascii="Arial" w:eastAsia="Times New Roman" w:hAnsi="Arial"/>
                <w:sz w:val="20"/>
                <w:szCs w:val="20"/>
              </w:rPr>
              <w:t>Internal Recharge to Other Housing (Non-HRA)</w:t>
            </w:r>
          </w:p>
        </w:tc>
        <w:tc>
          <w:tcPr>
            <w:tcW w:w="1134" w:type="dxa"/>
            <w:vAlign w:val="bottom"/>
          </w:tcPr>
          <w:p w14:paraId="292C5261" w14:textId="0F5FCB76" w:rsidR="002403F3" w:rsidRPr="002403F3" w:rsidRDefault="002403F3" w:rsidP="002403F3">
            <w:pPr>
              <w:tabs>
                <w:tab w:val="decimal" w:pos="800"/>
              </w:tabs>
              <w:spacing w:after="0" w:line="240" w:lineRule="auto"/>
              <w:jc w:val="right"/>
              <w:rPr>
                <w:rFonts w:ascii="Arial" w:eastAsia="Times New Roman" w:hAnsi="Arial"/>
                <w:sz w:val="20"/>
                <w:szCs w:val="20"/>
              </w:rPr>
            </w:pPr>
            <w:r w:rsidRPr="002403F3">
              <w:rPr>
                <w:rFonts w:ascii="Arial" w:eastAsia="Times New Roman" w:hAnsi="Arial"/>
                <w:sz w:val="20"/>
                <w:szCs w:val="20"/>
              </w:rPr>
              <w:t>62</w:t>
            </w:r>
          </w:p>
        </w:tc>
        <w:tc>
          <w:tcPr>
            <w:tcW w:w="1276" w:type="dxa"/>
            <w:vAlign w:val="bottom"/>
          </w:tcPr>
          <w:p w14:paraId="24612EF4" w14:textId="39268EBC" w:rsidR="002403F3" w:rsidRPr="002403F3" w:rsidRDefault="002403F3" w:rsidP="002403F3">
            <w:pPr>
              <w:tabs>
                <w:tab w:val="decimal" w:pos="800"/>
              </w:tabs>
              <w:spacing w:after="0" w:line="240" w:lineRule="auto"/>
              <w:jc w:val="right"/>
              <w:rPr>
                <w:rFonts w:ascii="Arial" w:eastAsia="Times New Roman" w:hAnsi="Arial"/>
                <w:sz w:val="20"/>
                <w:szCs w:val="20"/>
              </w:rPr>
            </w:pPr>
            <w:r w:rsidRPr="002403F3">
              <w:rPr>
                <w:rFonts w:ascii="Arial" w:eastAsia="Times New Roman" w:hAnsi="Arial"/>
                <w:sz w:val="20"/>
                <w:szCs w:val="20"/>
              </w:rPr>
              <w:t>62</w:t>
            </w:r>
          </w:p>
        </w:tc>
        <w:tc>
          <w:tcPr>
            <w:tcW w:w="1276" w:type="dxa"/>
            <w:vAlign w:val="bottom"/>
          </w:tcPr>
          <w:p w14:paraId="3F5306B4" w14:textId="56AE2B42" w:rsidR="002403F3" w:rsidRPr="002403F3" w:rsidRDefault="002403F3" w:rsidP="002403F3">
            <w:pPr>
              <w:tabs>
                <w:tab w:val="decimal" w:pos="800"/>
              </w:tabs>
              <w:spacing w:after="0" w:line="240" w:lineRule="auto"/>
              <w:jc w:val="right"/>
              <w:rPr>
                <w:rFonts w:ascii="Arial" w:eastAsia="Times New Roman" w:hAnsi="Arial"/>
                <w:sz w:val="20"/>
                <w:szCs w:val="20"/>
              </w:rPr>
            </w:pPr>
            <w:r w:rsidRPr="002403F3">
              <w:rPr>
                <w:rFonts w:ascii="Arial" w:eastAsia="Times New Roman" w:hAnsi="Arial"/>
                <w:sz w:val="20"/>
                <w:szCs w:val="20"/>
              </w:rPr>
              <w:t>62</w:t>
            </w:r>
          </w:p>
        </w:tc>
        <w:tc>
          <w:tcPr>
            <w:tcW w:w="1327" w:type="dxa"/>
            <w:vAlign w:val="bottom"/>
          </w:tcPr>
          <w:p w14:paraId="6F350CD7" w14:textId="0DF298F8" w:rsidR="002403F3" w:rsidRPr="002403F3" w:rsidRDefault="002403F3" w:rsidP="002403F3">
            <w:pPr>
              <w:tabs>
                <w:tab w:val="decimal" w:pos="800"/>
              </w:tabs>
              <w:spacing w:after="0" w:line="240" w:lineRule="auto"/>
              <w:jc w:val="right"/>
              <w:rPr>
                <w:rFonts w:ascii="Arial" w:eastAsia="Times New Roman" w:hAnsi="Arial"/>
                <w:sz w:val="20"/>
                <w:szCs w:val="20"/>
              </w:rPr>
            </w:pPr>
            <w:r w:rsidRPr="002403F3">
              <w:rPr>
                <w:rFonts w:ascii="Arial" w:eastAsia="Times New Roman" w:hAnsi="Arial"/>
                <w:sz w:val="20"/>
                <w:szCs w:val="20"/>
              </w:rPr>
              <w:t>62</w:t>
            </w:r>
          </w:p>
        </w:tc>
      </w:tr>
      <w:tr w:rsidR="002403F3" w:rsidRPr="000D57BD" w14:paraId="201431FA" w14:textId="77777777" w:rsidTr="00957DF3">
        <w:trPr>
          <w:cantSplit/>
        </w:trPr>
        <w:tc>
          <w:tcPr>
            <w:tcW w:w="4768" w:type="dxa"/>
          </w:tcPr>
          <w:p w14:paraId="1F023054" w14:textId="59D90709" w:rsidR="002403F3" w:rsidRPr="002403F3" w:rsidRDefault="002403F3" w:rsidP="002403F3">
            <w:pPr>
              <w:spacing w:after="0" w:line="240" w:lineRule="auto"/>
              <w:rPr>
                <w:rFonts w:ascii="Arial" w:eastAsia="Times New Roman" w:hAnsi="Arial"/>
                <w:sz w:val="20"/>
                <w:szCs w:val="20"/>
              </w:rPr>
            </w:pPr>
            <w:r w:rsidRPr="002403F3">
              <w:rPr>
                <w:rFonts w:ascii="Arial" w:eastAsia="Times New Roman" w:hAnsi="Arial"/>
                <w:sz w:val="20"/>
                <w:szCs w:val="20"/>
              </w:rPr>
              <w:t>Rents, Other Fees &amp; Charges</w:t>
            </w:r>
          </w:p>
        </w:tc>
        <w:tc>
          <w:tcPr>
            <w:tcW w:w="1134" w:type="dxa"/>
            <w:vAlign w:val="bottom"/>
          </w:tcPr>
          <w:p w14:paraId="3204C90E" w14:textId="0C036B54" w:rsidR="002403F3" w:rsidRPr="002403F3" w:rsidRDefault="002403F3" w:rsidP="002403F3">
            <w:pPr>
              <w:tabs>
                <w:tab w:val="decimal" w:pos="800"/>
              </w:tabs>
              <w:spacing w:after="0" w:line="240" w:lineRule="auto"/>
              <w:jc w:val="right"/>
              <w:rPr>
                <w:rFonts w:ascii="Arial" w:eastAsia="Times New Roman" w:hAnsi="Arial"/>
                <w:sz w:val="20"/>
                <w:szCs w:val="20"/>
              </w:rPr>
            </w:pPr>
            <w:r w:rsidRPr="002403F3">
              <w:rPr>
                <w:rFonts w:ascii="Arial" w:eastAsia="Times New Roman" w:hAnsi="Arial"/>
                <w:sz w:val="20"/>
                <w:szCs w:val="20"/>
              </w:rPr>
              <w:t>52,777</w:t>
            </w:r>
          </w:p>
        </w:tc>
        <w:tc>
          <w:tcPr>
            <w:tcW w:w="1276" w:type="dxa"/>
            <w:vAlign w:val="bottom"/>
          </w:tcPr>
          <w:p w14:paraId="7CA1DCF3" w14:textId="7BD581BD" w:rsidR="002403F3" w:rsidRPr="002403F3" w:rsidRDefault="002403F3" w:rsidP="002403F3">
            <w:pPr>
              <w:tabs>
                <w:tab w:val="decimal" w:pos="800"/>
              </w:tabs>
              <w:spacing w:after="0" w:line="240" w:lineRule="auto"/>
              <w:jc w:val="right"/>
              <w:rPr>
                <w:rFonts w:ascii="Arial" w:eastAsia="Times New Roman" w:hAnsi="Arial"/>
                <w:sz w:val="20"/>
                <w:szCs w:val="20"/>
              </w:rPr>
            </w:pPr>
            <w:r w:rsidRPr="002403F3">
              <w:rPr>
                <w:rFonts w:ascii="Arial" w:eastAsia="Times New Roman" w:hAnsi="Arial"/>
                <w:sz w:val="20"/>
                <w:szCs w:val="20"/>
              </w:rPr>
              <w:t>52,802</w:t>
            </w:r>
          </w:p>
        </w:tc>
        <w:tc>
          <w:tcPr>
            <w:tcW w:w="1276" w:type="dxa"/>
            <w:vAlign w:val="bottom"/>
          </w:tcPr>
          <w:p w14:paraId="68A63F53" w14:textId="33D79312" w:rsidR="002403F3" w:rsidRPr="002403F3" w:rsidRDefault="002403F3" w:rsidP="002403F3">
            <w:pPr>
              <w:tabs>
                <w:tab w:val="decimal" w:pos="800"/>
              </w:tabs>
              <w:spacing w:after="0" w:line="240" w:lineRule="auto"/>
              <w:jc w:val="right"/>
              <w:rPr>
                <w:rFonts w:ascii="Arial" w:eastAsia="Times New Roman" w:hAnsi="Arial"/>
                <w:sz w:val="20"/>
                <w:szCs w:val="20"/>
              </w:rPr>
            </w:pPr>
            <w:r w:rsidRPr="002403F3">
              <w:rPr>
                <w:rFonts w:ascii="Arial" w:eastAsia="Times New Roman" w:hAnsi="Arial"/>
                <w:sz w:val="20"/>
                <w:szCs w:val="20"/>
              </w:rPr>
              <w:t>52,802</w:t>
            </w:r>
          </w:p>
        </w:tc>
        <w:tc>
          <w:tcPr>
            <w:tcW w:w="1327" w:type="dxa"/>
            <w:vAlign w:val="bottom"/>
          </w:tcPr>
          <w:p w14:paraId="4CD84677" w14:textId="446463AA" w:rsidR="002403F3" w:rsidRPr="002403F3" w:rsidRDefault="002403F3" w:rsidP="002403F3">
            <w:pPr>
              <w:tabs>
                <w:tab w:val="decimal" w:pos="800"/>
              </w:tabs>
              <w:spacing w:after="0" w:line="240" w:lineRule="auto"/>
              <w:jc w:val="right"/>
              <w:rPr>
                <w:rFonts w:ascii="Arial" w:eastAsia="Times New Roman" w:hAnsi="Arial"/>
                <w:sz w:val="20"/>
                <w:szCs w:val="20"/>
              </w:rPr>
            </w:pPr>
            <w:r w:rsidRPr="002403F3">
              <w:rPr>
                <w:rFonts w:ascii="Arial" w:eastAsia="Times New Roman" w:hAnsi="Arial"/>
                <w:sz w:val="20"/>
                <w:szCs w:val="20"/>
              </w:rPr>
              <w:t>52,802</w:t>
            </w:r>
          </w:p>
        </w:tc>
      </w:tr>
      <w:tr w:rsidR="002403F3" w:rsidRPr="000D57BD" w14:paraId="3B5FEA2C" w14:textId="77777777" w:rsidTr="00957DF3">
        <w:trPr>
          <w:cantSplit/>
        </w:trPr>
        <w:tc>
          <w:tcPr>
            <w:tcW w:w="4768" w:type="dxa"/>
          </w:tcPr>
          <w:p w14:paraId="41CE0921" w14:textId="5572DF71" w:rsidR="002403F3" w:rsidRPr="002403F3" w:rsidRDefault="002403F3" w:rsidP="002403F3">
            <w:pPr>
              <w:spacing w:after="0" w:line="240" w:lineRule="auto"/>
              <w:rPr>
                <w:rFonts w:ascii="Arial" w:eastAsia="Times New Roman" w:hAnsi="Arial"/>
                <w:sz w:val="20"/>
                <w:szCs w:val="20"/>
              </w:rPr>
            </w:pPr>
            <w:r w:rsidRPr="002403F3">
              <w:rPr>
                <w:rFonts w:ascii="Arial" w:eastAsia="Times New Roman" w:hAnsi="Arial"/>
                <w:sz w:val="20"/>
                <w:szCs w:val="20"/>
              </w:rPr>
              <w:t>Interest</w:t>
            </w:r>
          </w:p>
        </w:tc>
        <w:tc>
          <w:tcPr>
            <w:tcW w:w="1134" w:type="dxa"/>
            <w:vAlign w:val="bottom"/>
          </w:tcPr>
          <w:p w14:paraId="18411181" w14:textId="2A4D9B6E" w:rsidR="002403F3" w:rsidRPr="002403F3" w:rsidRDefault="002403F3" w:rsidP="002403F3">
            <w:pPr>
              <w:tabs>
                <w:tab w:val="decimal" w:pos="800"/>
              </w:tabs>
              <w:spacing w:after="0" w:line="240" w:lineRule="auto"/>
              <w:jc w:val="right"/>
              <w:rPr>
                <w:rFonts w:ascii="Arial" w:eastAsia="Times New Roman" w:hAnsi="Arial"/>
                <w:sz w:val="20"/>
                <w:szCs w:val="20"/>
              </w:rPr>
            </w:pPr>
            <w:r w:rsidRPr="002403F3">
              <w:rPr>
                <w:rFonts w:ascii="Arial" w:eastAsia="Times New Roman" w:hAnsi="Arial"/>
                <w:sz w:val="20"/>
                <w:szCs w:val="20"/>
              </w:rPr>
              <w:t>60</w:t>
            </w:r>
          </w:p>
        </w:tc>
        <w:tc>
          <w:tcPr>
            <w:tcW w:w="1276" w:type="dxa"/>
            <w:vAlign w:val="bottom"/>
          </w:tcPr>
          <w:p w14:paraId="13494587" w14:textId="730F0956" w:rsidR="002403F3" w:rsidRPr="002403F3" w:rsidRDefault="002403F3" w:rsidP="002403F3">
            <w:pPr>
              <w:tabs>
                <w:tab w:val="decimal" w:pos="800"/>
              </w:tabs>
              <w:spacing w:after="0" w:line="240" w:lineRule="auto"/>
              <w:jc w:val="right"/>
              <w:rPr>
                <w:rFonts w:ascii="Arial" w:eastAsia="Times New Roman" w:hAnsi="Arial"/>
                <w:sz w:val="20"/>
                <w:szCs w:val="20"/>
              </w:rPr>
            </w:pPr>
            <w:r w:rsidRPr="002403F3">
              <w:rPr>
                <w:rFonts w:ascii="Arial" w:eastAsia="Times New Roman" w:hAnsi="Arial"/>
                <w:sz w:val="20"/>
                <w:szCs w:val="20"/>
              </w:rPr>
              <w:t>60</w:t>
            </w:r>
          </w:p>
        </w:tc>
        <w:tc>
          <w:tcPr>
            <w:tcW w:w="1276" w:type="dxa"/>
            <w:vAlign w:val="bottom"/>
          </w:tcPr>
          <w:p w14:paraId="7CFD0057" w14:textId="71E6F7F4" w:rsidR="002403F3" w:rsidRPr="002403F3" w:rsidRDefault="002403F3" w:rsidP="002403F3">
            <w:pPr>
              <w:tabs>
                <w:tab w:val="decimal" w:pos="800"/>
              </w:tabs>
              <w:spacing w:after="0" w:line="240" w:lineRule="auto"/>
              <w:jc w:val="right"/>
              <w:rPr>
                <w:rFonts w:ascii="Arial" w:eastAsia="Times New Roman" w:hAnsi="Arial"/>
                <w:sz w:val="20"/>
                <w:szCs w:val="20"/>
              </w:rPr>
            </w:pPr>
            <w:r w:rsidRPr="002403F3">
              <w:rPr>
                <w:rFonts w:ascii="Arial" w:eastAsia="Times New Roman" w:hAnsi="Arial"/>
                <w:sz w:val="20"/>
                <w:szCs w:val="20"/>
              </w:rPr>
              <w:t>60</w:t>
            </w:r>
          </w:p>
        </w:tc>
        <w:tc>
          <w:tcPr>
            <w:tcW w:w="1327" w:type="dxa"/>
            <w:vAlign w:val="bottom"/>
          </w:tcPr>
          <w:p w14:paraId="11030192" w14:textId="103C3215" w:rsidR="002403F3" w:rsidRPr="002403F3" w:rsidRDefault="002403F3" w:rsidP="002403F3">
            <w:pPr>
              <w:tabs>
                <w:tab w:val="decimal" w:pos="800"/>
              </w:tabs>
              <w:spacing w:after="0" w:line="240" w:lineRule="auto"/>
              <w:jc w:val="right"/>
              <w:rPr>
                <w:rFonts w:ascii="Arial" w:eastAsia="Times New Roman" w:hAnsi="Arial"/>
                <w:sz w:val="20"/>
                <w:szCs w:val="20"/>
              </w:rPr>
            </w:pPr>
            <w:r w:rsidRPr="002403F3">
              <w:rPr>
                <w:rFonts w:ascii="Arial" w:eastAsia="Times New Roman" w:hAnsi="Arial"/>
                <w:sz w:val="20"/>
                <w:szCs w:val="20"/>
              </w:rPr>
              <w:t>60</w:t>
            </w:r>
          </w:p>
        </w:tc>
      </w:tr>
      <w:tr w:rsidR="002403F3" w:rsidRPr="000D57BD" w14:paraId="78122EF1" w14:textId="77777777" w:rsidTr="00957DF3">
        <w:trPr>
          <w:cantSplit/>
        </w:trPr>
        <w:tc>
          <w:tcPr>
            <w:tcW w:w="4768" w:type="dxa"/>
          </w:tcPr>
          <w:p w14:paraId="69A7734C" w14:textId="49A3040E" w:rsidR="002403F3" w:rsidRPr="002403F3" w:rsidRDefault="002403F3" w:rsidP="002403F3">
            <w:pPr>
              <w:spacing w:after="0" w:line="240" w:lineRule="auto"/>
              <w:rPr>
                <w:rFonts w:ascii="Arial" w:eastAsia="Times New Roman" w:hAnsi="Arial"/>
                <w:sz w:val="20"/>
                <w:szCs w:val="20"/>
              </w:rPr>
            </w:pPr>
            <w:r w:rsidRPr="002403F3">
              <w:rPr>
                <w:rFonts w:ascii="Arial" w:eastAsia="Times New Roman" w:hAnsi="Arial"/>
                <w:sz w:val="20"/>
                <w:szCs w:val="20"/>
              </w:rPr>
              <w:t>Sheltered Housing Service Charge</w:t>
            </w:r>
          </w:p>
        </w:tc>
        <w:tc>
          <w:tcPr>
            <w:tcW w:w="1134" w:type="dxa"/>
            <w:vAlign w:val="bottom"/>
          </w:tcPr>
          <w:p w14:paraId="57FF183A" w14:textId="507C0CC0" w:rsidR="002403F3" w:rsidRPr="002403F3" w:rsidRDefault="002403F3" w:rsidP="002403F3">
            <w:pPr>
              <w:tabs>
                <w:tab w:val="decimal" w:pos="800"/>
              </w:tabs>
              <w:spacing w:after="0" w:line="240" w:lineRule="auto"/>
              <w:jc w:val="right"/>
              <w:rPr>
                <w:rFonts w:ascii="Arial" w:eastAsia="Times New Roman" w:hAnsi="Arial"/>
                <w:sz w:val="20"/>
                <w:szCs w:val="20"/>
              </w:rPr>
            </w:pPr>
            <w:r w:rsidRPr="002403F3">
              <w:rPr>
                <w:rFonts w:ascii="Arial" w:eastAsia="Times New Roman" w:hAnsi="Arial"/>
                <w:sz w:val="20"/>
                <w:szCs w:val="20"/>
              </w:rPr>
              <w:t>2,582</w:t>
            </w:r>
          </w:p>
        </w:tc>
        <w:tc>
          <w:tcPr>
            <w:tcW w:w="1276" w:type="dxa"/>
            <w:vAlign w:val="bottom"/>
          </w:tcPr>
          <w:p w14:paraId="70515F4E" w14:textId="605A2A52" w:rsidR="002403F3" w:rsidRPr="002403F3" w:rsidRDefault="002403F3" w:rsidP="002403F3">
            <w:pPr>
              <w:tabs>
                <w:tab w:val="decimal" w:pos="800"/>
              </w:tabs>
              <w:spacing w:after="0" w:line="240" w:lineRule="auto"/>
              <w:jc w:val="right"/>
              <w:rPr>
                <w:rFonts w:ascii="Arial" w:eastAsia="Times New Roman" w:hAnsi="Arial"/>
                <w:sz w:val="20"/>
                <w:szCs w:val="20"/>
              </w:rPr>
            </w:pPr>
            <w:r w:rsidRPr="002403F3">
              <w:rPr>
                <w:rFonts w:ascii="Arial" w:eastAsia="Times New Roman" w:hAnsi="Arial"/>
                <w:sz w:val="20"/>
                <w:szCs w:val="20"/>
              </w:rPr>
              <w:t>2,589</w:t>
            </w:r>
          </w:p>
        </w:tc>
        <w:tc>
          <w:tcPr>
            <w:tcW w:w="1276" w:type="dxa"/>
            <w:vAlign w:val="bottom"/>
          </w:tcPr>
          <w:p w14:paraId="7CC2254C" w14:textId="3DF4CFC3" w:rsidR="002403F3" w:rsidRPr="002403F3" w:rsidRDefault="002403F3" w:rsidP="002403F3">
            <w:pPr>
              <w:tabs>
                <w:tab w:val="decimal" w:pos="800"/>
              </w:tabs>
              <w:spacing w:after="0" w:line="240" w:lineRule="auto"/>
              <w:jc w:val="right"/>
              <w:rPr>
                <w:rFonts w:ascii="Arial" w:eastAsia="Times New Roman" w:hAnsi="Arial"/>
                <w:sz w:val="20"/>
                <w:szCs w:val="20"/>
              </w:rPr>
            </w:pPr>
            <w:r w:rsidRPr="002403F3">
              <w:rPr>
                <w:rFonts w:ascii="Arial" w:eastAsia="Times New Roman" w:hAnsi="Arial"/>
                <w:sz w:val="20"/>
                <w:szCs w:val="20"/>
              </w:rPr>
              <w:t>2,589</w:t>
            </w:r>
          </w:p>
        </w:tc>
        <w:tc>
          <w:tcPr>
            <w:tcW w:w="1327" w:type="dxa"/>
            <w:vAlign w:val="bottom"/>
          </w:tcPr>
          <w:p w14:paraId="3F1DDF74" w14:textId="0A6CFE2A" w:rsidR="002403F3" w:rsidRPr="002403F3" w:rsidRDefault="002403F3" w:rsidP="002403F3">
            <w:pPr>
              <w:tabs>
                <w:tab w:val="decimal" w:pos="800"/>
              </w:tabs>
              <w:spacing w:after="0" w:line="240" w:lineRule="auto"/>
              <w:jc w:val="right"/>
              <w:rPr>
                <w:rFonts w:ascii="Arial" w:eastAsia="Times New Roman" w:hAnsi="Arial"/>
                <w:sz w:val="20"/>
                <w:szCs w:val="20"/>
              </w:rPr>
            </w:pPr>
            <w:r w:rsidRPr="002403F3">
              <w:rPr>
                <w:rFonts w:ascii="Arial" w:eastAsia="Times New Roman" w:hAnsi="Arial"/>
                <w:sz w:val="20"/>
                <w:szCs w:val="20"/>
              </w:rPr>
              <w:t>2,589</w:t>
            </w:r>
          </w:p>
        </w:tc>
      </w:tr>
      <w:tr w:rsidR="002403F3" w:rsidRPr="000D57BD" w14:paraId="1521CDE9" w14:textId="77777777" w:rsidTr="00957DF3">
        <w:trPr>
          <w:cantSplit/>
        </w:trPr>
        <w:tc>
          <w:tcPr>
            <w:tcW w:w="4768" w:type="dxa"/>
          </w:tcPr>
          <w:p w14:paraId="6C9FD087" w14:textId="6B193AC3" w:rsidR="002403F3" w:rsidRPr="002403F3" w:rsidRDefault="002403F3" w:rsidP="002403F3">
            <w:pPr>
              <w:spacing w:after="0" w:line="240" w:lineRule="auto"/>
              <w:rPr>
                <w:rFonts w:ascii="Arial" w:eastAsia="Times New Roman" w:hAnsi="Arial"/>
                <w:sz w:val="20"/>
                <w:szCs w:val="20"/>
              </w:rPr>
            </w:pPr>
            <w:r w:rsidRPr="002403F3">
              <w:rPr>
                <w:rFonts w:ascii="Arial" w:eastAsia="Times New Roman" w:hAnsi="Arial"/>
                <w:sz w:val="20"/>
                <w:szCs w:val="20"/>
              </w:rPr>
              <w:t>Other Income</w:t>
            </w:r>
          </w:p>
        </w:tc>
        <w:tc>
          <w:tcPr>
            <w:tcW w:w="1134" w:type="dxa"/>
            <w:vAlign w:val="bottom"/>
          </w:tcPr>
          <w:p w14:paraId="4A0FCA59" w14:textId="366B258F" w:rsidR="002403F3" w:rsidRPr="002403F3" w:rsidRDefault="002403F3" w:rsidP="002403F3">
            <w:pPr>
              <w:tabs>
                <w:tab w:val="decimal" w:pos="800"/>
              </w:tabs>
              <w:spacing w:after="0" w:line="240" w:lineRule="auto"/>
              <w:jc w:val="right"/>
              <w:rPr>
                <w:rFonts w:ascii="Arial" w:eastAsia="Times New Roman" w:hAnsi="Arial"/>
                <w:sz w:val="20"/>
                <w:szCs w:val="20"/>
                <w:u w:val="single"/>
              </w:rPr>
            </w:pPr>
            <w:r w:rsidRPr="002403F3">
              <w:rPr>
                <w:rFonts w:ascii="Arial" w:eastAsia="Times New Roman" w:hAnsi="Arial"/>
                <w:sz w:val="20"/>
                <w:szCs w:val="20"/>
                <w:u w:val="single"/>
              </w:rPr>
              <w:t xml:space="preserve">       281</w:t>
            </w:r>
          </w:p>
        </w:tc>
        <w:tc>
          <w:tcPr>
            <w:tcW w:w="1276" w:type="dxa"/>
            <w:vAlign w:val="bottom"/>
          </w:tcPr>
          <w:p w14:paraId="5AD2832F" w14:textId="7CED4B4D" w:rsidR="002403F3" w:rsidRPr="002403F3" w:rsidRDefault="002403F3" w:rsidP="002403F3">
            <w:pPr>
              <w:tabs>
                <w:tab w:val="decimal" w:pos="800"/>
              </w:tabs>
              <w:spacing w:after="0" w:line="240" w:lineRule="auto"/>
              <w:jc w:val="right"/>
              <w:rPr>
                <w:rFonts w:ascii="Arial" w:eastAsia="Times New Roman" w:hAnsi="Arial"/>
                <w:sz w:val="20"/>
                <w:szCs w:val="20"/>
                <w:u w:val="single"/>
              </w:rPr>
            </w:pPr>
            <w:r w:rsidRPr="002403F3">
              <w:rPr>
                <w:rFonts w:ascii="Arial" w:eastAsia="Times New Roman" w:hAnsi="Arial"/>
                <w:sz w:val="20"/>
                <w:szCs w:val="20"/>
                <w:u w:val="single"/>
              </w:rPr>
              <w:t>238</w:t>
            </w:r>
          </w:p>
        </w:tc>
        <w:tc>
          <w:tcPr>
            <w:tcW w:w="1276" w:type="dxa"/>
            <w:vAlign w:val="bottom"/>
          </w:tcPr>
          <w:p w14:paraId="58FF8D85" w14:textId="526DBD93" w:rsidR="002403F3" w:rsidRPr="002403F3" w:rsidRDefault="002403F3" w:rsidP="002403F3">
            <w:pPr>
              <w:tabs>
                <w:tab w:val="decimal" w:pos="800"/>
              </w:tabs>
              <w:spacing w:after="0" w:line="240" w:lineRule="auto"/>
              <w:jc w:val="right"/>
              <w:rPr>
                <w:rFonts w:ascii="Arial" w:eastAsia="Times New Roman" w:hAnsi="Arial"/>
                <w:sz w:val="20"/>
                <w:szCs w:val="20"/>
                <w:u w:val="single"/>
              </w:rPr>
            </w:pPr>
            <w:r w:rsidRPr="002403F3">
              <w:rPr>
                <w:rFonts w:ascii="Arial" w:eastAsia="Times New Roman" w:hAnsi="Arial"/>
                <w:sz w:val="20"/>
                <w:szCs w:val="20"/>
                <w:u w:val="single"/>
              </w:rPr>
              <w:t>238</w:t>
            </w:r>
          </w:p>
        </w:tc>
        <w:tc>
          <w:tcPr>
            <w:tcW w:w="1327" w:type="dxa"/>
            <w:vAlign w:val="bottom"/>
          </w:tcPr>
          <w:p w14:paraId="5EE51349" w14:textId="65C5C814" w:rsidR="002403F3" w:rsidRPr="002403F3" w:rsidRDefault="002403F3" w:rsidP="002403F3">
            <w:pPr>
              <w:tabs>
                <w:tab w:val="decimal" w:pos="800"/>
              </w:tabs>
              <w:spacing w:after="0" w:line="240" w:lineRule="auto"/>
              <w:jc w:val="right"/>
              <w:rPr>
                <w:rFonts w:ascii="Arial" w:eastAsia="Times New Roman" w:hAnsi="Arial"/>
                <w:sz w:val="20"/>
                <w:szCs w:val="20"/>
                <w:u w:val="single"/>
              </w:rPr>
            </w:pPr>
            <w:r w:rsidRPr="002403F3">
              <w:rPr>
                <w:rFonts w:ascii="Arial" w:eastAsia="Times New Roman" w:hAnsi="Arial"/>
                <w:sz w:val="20"/>
                <w:szCs w:val="20"/>
                <w:u w:val="single"/>
              </w:rPr>
              <w:t>238</w:t>
            </w:r>
          </w:p>
        </w:tc>
      </w:tr>
      <w:tr w:rsidR="002403F3" w:rsidRPr="000D57BD" w14:paraId="3EE61514" w14:textId="77777777" w:rsidTr="002A6FFB">
        <w:trPr>
          <w:cantSplit/>
        </w:trPr>
        <w:tc>
          <w:tcPr>
            <w:tcW w:w="4768" w:type="dxa"/>
          </w:tcPr>
          <w:p w14:paraId="4CE516D2" w14:textId="7289F17B" w:rsidR="002403F3" w:rsidRPr="002403F3" w:rsidRDefault="002403F3" w:rsidP="002403F3">
            <w:pPr>
              <w:spacing w:after="0" w:line="360" w:lineRule="auto"/>
              <w:rPr>
                <w:rFonts w:ascii="Arial" w:eastAsia="Times New Roman" w:hAnsi="Arial"/>
                <w:sz w:val="20"/>
                <w:szCs w:val="20"/>
              </w:rPr>
            </w:pPr>
            <w:r w:rsidRPr="002403F3">
              <w:rPr>
                <w:rFonts w:ascii="Arial" w:eastAsia="Times New Roman" w:hAnsi="Arial"/>
                <w:b/>
                <w:sz w:val="20"/>
                <w:szCs w:val="20"/>
                <w:u w:val="single"/>
              </w:rPr>
              <w:t>TOTAL INCOME</w:t>
            </w:r>
          </w:p>
        </w:tc>
        <w:tc>
          <w:tcPr>
            <w:tcW w:w="1134" w:type="dxa"/>
          </w:tcPr>
          <w:p w14:paraId="0BA95274" w14:textId="33CD095A" w:rsidR="002403F3" w:rsidRPr="002403F3" w:rsidRDefault="002403F3" w:rsidP="002403F3">
            <w:pPr>
              <w:tabs>
                <w:tab w:val="decimal" w:pos="800"/>
              </w:tabs>
              <w:spacing w:after="0" w:line="360" w:lineRule="auto"/>
              <w:jc w:val="right"/>
              <w:rPr>
                <w:rFonts w:ascii="Arial" w:eastAsia="Times New Roman" w:hAnsi="Arial"/>
                <w:sz w:val="20"/>
                <w:szCs w:val="20"/>
                <w:u w:val="single"/>
              </w:rPr>
            </w:pPr>
            <w:r w:rsidRPr="002403F3">
              <w:rPr>
                <w:rFonts w:ascii="Arial" w:eastAsia="Times New Roman" w:hAnsi="Arial"/>
                <w:sz w:val="20"/>
                <w:szCs w:val="20"/>
                <w:u w:val="single"/>
              </w:rPr>
              <w:t>55,762</w:t>
            </w:r>
          </w:p>
        </w:tc>
        <w:tc>
          <w:tcPr>
            <w:tcW w:w="1276" w:type="dxa"/>
          </w:tcPr>
          <w:p w14:paraId="79CCEFA6" w14:textId="1CD5E270" w:rsidR="002403F3" w:rsidRPr="002403F3" w:rsidRDefault="002403F3" w:rsidP="002403F3">
            <w:pPr>
              <w:tabs>
                <w:tab w:val="decimal" w:pos="800"/>
              </w:tabs>
              <w:spacing w:after="0" w:line="360" w:lineRule="auto"/>
              <w:jc w:val="right"/>
              <w:rPr>
                <w:rFonts w:ascii="Arial" w:eastAsia="Times New Roman" w:hAnsi="Arial"/>
                <w:sz w:val="20"/>
                <w:szCs w:val="20"/>
                <w:u w:val="single"/>
              </w:rPr>
            </w:pPr>
            <w:r w:rsidRPr="002403F3">
              <w:rPr>
                <w:rFonts w:ascii="Arial" w:eastAsia="Times New Roman" w:hAnsi="Arial"/>
                <w:sz w:val="20"/>
                <w:szCs w:val="20"/>
                <w:u w:val="single"/>
              </w:rPr>
              <w:t>55,751</w:t>
            </w:r>
          </w:p>
        </w:tc>
        <w:tc>
          <w:tcPr>
            <w:tcW w:w="1276" w:type="dxa"/>
          </w:tcPr>
          <w:p w14:paraId="4612A665" w14:textId="024F5486" w:rsidR="002403F3" w:rsidRPr="002403F3" w:rsidRDefault="002403F3" w:rsidP="002403F3">
            <w:pPr>
              <w:tabs>
                <w:tab w:val="decimal" w:pos="800"/>
              </w:tabs>
              <w:spacing w:after="0" w:line="360" w:lineRule="auto"/>
              <w:jc w:val="right"/>
              <w:rPr>
                <w:rFonts w:ascii="Arial" w:eastAsia="Times New Roman" w:hAnsi="Arial"/>
                <w:sz w:val="20"/>
                <w:szCs w:val="20"/>
                <w:u w:val="single"/>
              </w:rPr>
            </w:pPr>
            <w:r w:rsidRPr="002403F3">
              <w:rPr>
                <w:rFonts w:ascii="Arial" w:eastAsia="Times New Roman" w:hAnsi="Arial"/>
                <w:sz w:val="20"/>
                <w:szCs w:val="20"/>
                <w:u w:val="single"/>
              </w:rPr>
              <w:t>55,751</w:t>
            </w:r>
          </w:p>
        </w:tc>
        <w:tc>
          <w:tcPr>
            <w:tcW w:w="1327" w:type="dxa"/>
          </w:tcPr>
          <w:p w14:paraId="54864A88" w14:textId="617406A5" w:rsidR="002403F3" w:rsidRPr="002403F3" w:rsidRDefault="002403F3" w:rsidP="002403F3">
            <w:pPr>
              <w:tabs>
                <w:tab w:val="decimal" w:pos="800"/>
              </w:tabs>
              <w:spacing w:after="0" w:line="360" w:lineRule="auto"/>
              <w:jc w:val="right"/>
              <w:rPr>
                <w:rFonts w:ascii="Arial" w:eastAsia="Times New Roman" w:hAnsi="Arial"/>
                <w:sz w:val="20"/>
                <w:szCs w:val="20"/>
                <w:u w:val="single"/>
              </w:rPr>
            </w:pPr>
            <w:r w:rsidRPr="002403F3">
              <w:rPr>
                <w:rFonts w:ascii="Arial" w:eastAsia="Times New Roman" w:hAnsi="Arial"/>
                <w:sz w:val="20"/>
                <w:szCs w:val="20"/>
                <w:u w:val="single"/>
              </w:rPr>
              <w:t>55,751</w:t>
            </w:r>
          </w:p>
        </w:tc>
      </w:tr>
      <w:tr w:rsidR="002403F3" w:rsidRPr="000D57BD" w14:paraId="45FA0261" w14:textId="77777777" w:rsidTr="002A6FFB">
        <w:trPr>
          <w:cantSplit/>
        </w:trPr>
        <w:tc>
          <w:tcPr>
            <w:tcW w:w="4768" w:type="dxa"/>
          </w:tcPr>
          <w:p w14:paraId="1BC379A8" w14:textId="31FBE966" w:rsidR="002403F3" w:rsidRPr="002403F3" w:rsidRDefault="002403F3" w:rsidP="002403F3">
            <w:pPr>
              <w:spacing w:after="0" w:line="360" w:lineRule="auto"/>
              <w:rPr>
                <w:rFonts w:ascii="Arial" w:eastAsia="Times New Roman" w:hAnsi="Arial"/>
                <w:b/>
                <w:sz w:val="20"/>
                <w:szCs w:val="20"/>
                <w:u w:val="single"/>
              </w:rPr>
            </w:pPr>
            <w:r w:rsidRPr="002403F3">
              <w:rPr>
                <w:rFonts w:ascii="Arial" w:eastAsia="Times New Roman" w:hAnsi="Arial"/>
                <w:b/>
                <w:sz w:val="20"/>
                <w:szCs w:val="20"/>
                <w:u w:val="single"/>
              </w:rPr>
              <w:t>TOTAL NET EXPENDITURE</w:t>
            </w:r>
          </w:p>
        </w:tc>
        <w:tc>
          <w:tcPr>
            <w:tcW w:w="1134" w:type="dxa"/>
          </w:tcPr>
          <w:p w14:paraId="351EF042" w14:textId="30934143" w:rsidR="002403F3" w:rsidRPr="002403F3" w:rsidRDefault="002403F3" w:rsidP="002403F3">
            <w:pPr>
              <w:tabs>
                <w:tab w:val="decimal" w:pos="800"/>
              </w:tabs>
              <w:spacing w:after="0" w:line="360" w:lineRule="auto"/>
              <w:jc w:val="right"/>
              <w:rPr>
                <w:rFonts w:ascii="Arial" w:eastAsia="Times New Roman" w:hAnsi="Arial"/>
                <w:sz w:val="20"/>
                <w:szCs w:val="20"/>
                <w:u w:val="double"/>
              </w:rPr>
            </w:pPr>
            <w:r w:rsidRPr="002403F3">
              <w:rPr>
                <w:rFonts w:ascii="Arial" w:eastAsia="Times New Roman" w:hAnsi="Arial"/>
                <w:sz w:val="20"/>
                <w:szCs w:val="20"/>
                <w:u w:val="double"/>
              </w:rPr>
              <w:t xml:space="preserve">      -</w:t>
            </w:r>
          </w:p>
        </w:tc>
        <w:tc>
          <w:tcPr>
            <w:tcW w:w="1276" w:type="dxa"/>
          </w:tcPr>
          <w:p w14:paraId="7EF3DFBA" w14:textId="326D0CA9" w:rsidR="002403F3" w:rsidRPr="002403F3" w:rsidRDefault="002403F3" w:rsidP="002403F3">
            <w:pPr>
              <w:tabs>
                <w:tab w:val="decimal" w:pos="800"/>
              </w:tabs>
              <w:spacing w:after="0" w:line="360" w:lineRule="auto"/>
              <w:jc w:val="right"/>
              <w:rPr>
                <w:rFonts w:ascii="Arial" w:eastAsia="Times New Roman" w:hAnsi="Arial"/>
                <w:sz w:val="20"/>
                <w:szCs w:val="20"/>
                <w:u w:val="double"/>
              </w:rPr>
            </w:pPr>
            <w:r w:rsidRPr="002403F3">
              <w:rPr>
                <w:rFonts w:ascii="Arial" w:eastAsia="Times New Roman" w:hAnsi="Arial"/>
                <w:sz w:val="20"/>
                <w:szCs w:val="20"/>
                <w:u w:val="double"/>
              </w:rPr>
              <w:t>770</w:t>
            </w:r>
          </w:p>
        </w:tc>
        <w:tc>
          <w:tcPr>
            <w:tcW w:w="1276" w:type="dxa"/>
          </w:tcPr>
          <w:p w14:paraId="6CDAD4E9" w14:textId="2CACFC0B" w:rsidR="002403F3" w:rsidRPr="002403F3" w:rsidRDefault="002403F3" w:rsidP="002403F3">
            <w:pPr>
              <w:tabs>
                <w:tab w:val="decimal" w:pos="800"/>
              </w:tabs>
              <w:spacing w:after="0" w:line="360" w:lineRule="auto"/>
              <w:jc w:val="right"/>
              <w:rPr>
                <w:rFonts w:ascii="Arial" w:eastAsia="Times New Roman" w:hAnsi="Arial"/>
                <w:sz w:val="20"/>
                <w:szCs w:val="20"/>
                <w:u w:val="double"/>
              </w:rPr>
            </w:pPr>
            <w:r w:rsidRPr="002403F3">
              <w:rPr>
                <w:rFonts w:ascii="Arial" w:eastAsia="Times New Roman" w:hAnsi="Arial"/>
                <w:sz w:val="20"/>
                <w:szCs w:val="20"/>
                <w:u w:val="double"/>
              </w:rPr>
              <w:t>1,540</w:t>
            </w:r>
          </w:p>
        </w:tc>
        <w:tc>
          <w:tcPr>
            <w:tcW w:w="1327" w:type="dxa"/>
          </w:tcPr>
          <w:p w14:paraId="2226CFAE" w14:textId="6359EBB9" w:rsidR="002403F3" w:rsidRPr="002403F3" w:rsidRDefault="002403F3" w:rsidP="002403F3">
            <w:pPr>
              <w:tabs>
                <w:tab w:val="decimal" w:pos="800"/>
              </w:tabs>
              <w:spacing w:after="0" w:line="360" w:lineRule="auto"/>
              <w:jc w:val="right"/>
              <w:rPr>
                <w:rFonts w:ascii="Arial" w:eastAsia="Times New Roman" w:hAnsi="Arial"/>
                <w:sz w:val="20"/>
                <w:szCs w:val="20"/>
                <w:u w:val="double"/>
              </w:rPr>
            </w:pPr>
            <w:r w:rsidRPr="002403F3">
              <w:rPr>
                <w:rFonts w:ascii="Arial" w:eastAsia="Times New Roman" w:hAnsi="Arial"/>
                <w:sz w:val="20"/>
                <w:szCs w:val="20"/>
                <w:u w:val="double"/>
              </w:rPr>
              <w:t>2,310</w:t>
            </w:r>
          </w:p>
        </w:tc>
      </w:tr>
    </w:tbl>
    <w:p w14:paraId="233A179C" w14:textId="77777777" w:rsidR="004A27EE" w:rsidRPr="008F63F5" w:rsidRDefault="004A27EE" w:rsidP="004A27EE">
      <w:pPr>
        <w:spacing w:after="0" w:line="240" w:lineRule="auto"/>
        <w:jc w:val="center"/>
        <w:rPr>
          <w:rFonts w:ascii="Arial" w:eastAsia="Times New Roman" w:hAnsi="Arial"/>
          <w:b/>
          <w:sz w:val="20"/>
          <w:szCs w:val="20"/>
        </w:rPr>
      </w:pPr>
    </w:p>
    <w:p w14:paraId="06A88362" w14:textId="77777777" w:rsidR="004A27EE" w:rsidRPr="008F63F5" w:rsidRDefault="004A27EE" w:rsidP="004A27EE">
      <w:pPr>
        <w:spacing w:after="0" w:line="240" w:lineRule="auto"/>
        <w:rPr>
          <w:rFonts w:ascii="Arial" w:eastAsia="Times New Roman" w:hAnsi="Arial"/>
          <w:szCs w:val="24"/>
        </w:rPr>
      </w:pPr>
    </w:p>
    <w:p w14:paraId="09C4F390" w14:textId="77777777" w:rsidR="004A27EE" w:rsidRPr="008F63F5" w:rsidRDefault="004A27EE" w:rsidP="004A27EE">
      <w:pPr>
        <w:spacing w:after="0" w:line="240" w:lineRule="auto"/>
        <w:jc w:val="right"/>
        <w:rPr>
          <w:rFonts w:ascii="Arial" w:eastAsia="Times New Roman" w:hAnsi="Arial"/>
          <w:szCs w:val="24"/>
        </w:rPr>
      </w:pPr>
    </w:p>
    <w:p w14:paraId="63C08E30" w14:textId="77777777" w:rsidR="004A27EE" w:rsidRPr="008F63F5" w:rsidRDefault="004A27EE" w:rsidP="004A27EE">
      <w:pPr>
        <w:tabs>
          <w:tab w:val="left" w:pos="2127"/>
        </w:tabs>
        <w:spacing w:after="0" w:line="240" w:lineRule="auto"/>
        <w:jc w:val="right"/>
        <w:rPr>
          <w:rFonts w:ascii="Arial" w:eastAsia="Times New Roman" w:hAnsi="Arial"/>
          <w:b/>
          <w:szCs w:val="24"/>
          <w:u w:val="single"/>
        </w:rPr>
      </w:pPr>
      <w:r w:rsidRPr="008F63F5">
        <w:rPr>
          <w:rFonts w:ascii="Arial" w:eastAsia="Times New Roman" w:hAnsi="Arial"/>
          <w:b/>
          <w:szCs w:val="24"/>
          <w:u w:val="single"/>
        </w:rPr>
        <w:br w:type="page"/>
      </w:r>
      <w:r w:rsidRPr="008F63F5">
        <w:rPr>
          <w:rFonts w:ascii="Arial" w:eastAsia="Times New Roman" w:hAnsi="Arial"/>
          <w:b/>
          <w:szCs w:val="24"/>
          <w:u w:val="single"/>
        </w:rPr>
        <w:lastRenderedPageBreak/>
        <w:t>Appendix 2</w:t>
      </w:r>
    </w:p>
    <w:p w14:paraId="6D1BAE16" w14:textId="77777777" w:rsidR="004A27EE" w:rsidRPr="008F63F5" w:rsidRDefault="004A27EE" w:rsidP="004A27EE">
      <w:pPr>
        <w:tabs>
          <w:tab w:val="left" w:pos="2127"/>
        </w:tabs>
        <w:spacing w:after="0" w:line="240" w:lineRule="auto"/>
        <w:rPr>
          <w:rFonts w:ascii="Arial" w:eastAsia="Times New Roman" w:hAnsi="Arial"/>
          <w:b/>
          <w:sz w:val="20"/>
          <w:szCs w:val="20"/>
        </w:rPr>
      </w:pPr>
      <w:r w:rsidRPr="008F63F5">
        <w:rPr>
          <w:rFonts w:ascii="Arial" w:eastAsia="Times New Roman" w:hAnsi="Arial"/>
          <w:b/>
          <w:sz w:val="20"/>
          <w:szCs w:val="20"/>
        </w:rPr>
        <w:t>REVENUE BUDGET 20</w:t>
      </w:r>
      <w:r w:rsidR="00DE4A71">
        <w:rPr>
          <w:rFonts w:ascii="Arial" w:eastAsia="Times New Roman" w:hAnsi="Arial"/>
          <w:b/>
          <w:sz w:val="20"/>
          <w:szCs w:val="20"/>
        </w:rPr>
        <w:t>2</w:t>
      </w:r>
      <w:r w:rsidR="00DE0490">
        <w:rPr>
          <w:rFonts w:ascii="Arial" w:eastAsia="Times New Roman" w:hAnsi="Arial"/>
          <w:b/>
          <w:sz w:val="20"/>
          <w:szCs w:val="20"/>
        </w:rPr>
        <w:t>2</w:t>
      </w:r>
      <w:r w:rsidRPr="008F63F5">
        <w:rPr>
          <w:rFonts w:ascii="Arial" w:eastAsia="Times New Roman" w:hAnsi="Arial"/>
          <w:b/>
          <w:sz w:val="20"/>
          <w:szCs w:val="20"/>
        </w:rPr>
        <w:t>/20</w:t>
      </w:r>
      <w:r w:rsidR="00A37254" w:rsidRPr="008F63F5">
        <w:rPr>
          <w:rFonts w:ascii="Arial" w:eastAsia="Times New Roman" w:hAnsi="Arial"/>
          <w:b/>
          <w:sz w:val="20"/>
          <w:szCs w:val="20"/>
        </w:rPr>
        <w:t>2</w:t>
      </w:r>
      <w:r w:rsidR="00DE0490">
        <w:rPr>
          <w:rFonts w:ascii="Arial" w:eastAsia="Times New Roman" w:hAnsi="Arial"/>
          <w:b/>
          <w:sz w:val="20"/>
          <w:szCs w:val="20"/>
        </w:rPr>
        <w:t>3</w:t>
      </w:r>
    </w:p>
    <w:p w14:paraId="59F27C59" w14:textId="77777777" w:rsidR="004A27EE" w:rsidRPr="008F63F5" w:rsidRDefault="004A27EE" w:rsidP="004A27EE">
      <w:pPr>
        <w:tabs>
          <w:tab w:val="left" w:pos="2127"/>
        </w:tabs>
        <w:spacing w:after="0" w:line="240" w:lineRule="auto"/>
        <w:rPr>
          <w:rFonts w:ascii="Arial" w:eastAsia="Times New Roman" w:hAnsi="Arial"/>
          <w:b/>
          <w:sz w:val="20"/>
          <w:szCs w:val="20"/>
        </w:rPr>
      </w:pPr>
    </w:p>
    <w:p w14:paraId="46995400" w14:textId="77777777" w:rsidR="004A27EE" w:rsidRPr="008F63F5" w:rsidRDefault="004A27EE" w:rsidP="004A27EE">
      <w:pPr>
        <w:tabs>
          <w:tab w:val="left" w:pos="2127"/>
        </w:tabs>
        <w:spacing w:after="0" w:line="240" w:lineRule="auto"/>
        <w:rPr>
          <w:rFonts w:ascii="Arial" w:eastAsia="Times New Roman" w:hAnsi="Arial"/>
          <w:b/>
          <w:sz w:val="20"/>
          <w:szCs w:val="20"/>
        </w:rPr>
      </w:pPr>
      <w:r w:rsidRPr="008F63F5">
        <w:rPr>
          <w:rFonts w:ascii="Arial" w:eastAsia="Times New Roman" w:hAnsi="Arial"/>
          <w:b/>
          <w:sz w:val="20"/>
          <w:szCs w:val="20"/>
        </w:rPr>
        <w:t>REVIEW OF CHARGES</w:t>
      </w:r>
    </w:p>
    <w:p w14:paraId="03384C89" w14:textId="77777777" w:rsidR="004A27EE" w:rsidRPr="008F63F5" w:rsidRDefault="004A27EE" w:rsidP="004A27EE">
      <w:pPr>
        <w:tabs>
          <w:tab w:val="left" w:pos="2127"/>
        </w:tabs>
        <w:spacing w:after="0" w:line="240" w:lineRule="auto"/>
        <w:rPr>
          <w:rFonts w:ascii="Arial" w:eastAsia="Times New Roman" w:hAnsi="Arial"/>
          <w:szCs w:val="24"/>
        </w:rPr>
      </w:pP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1"/>
        <w:gridCol w:w="1541"/>
        <w:gridCol w:w="1473"/>
      </w:tblGrid>
      <w:tr w:rsidR="008F63F5" w:rsidRPr="008F63F5" w14:paraId="3CF3EBFF" w14:textId="77777777" w:rsidTr="00853881">
        <w:trPr>
          <w:trHeight w:val="715"/>
        </w:trPr>
        <w:tc>
          <w:tcPr>
            <w:tcW w:w="6051" w:type="dxa"/>
            <w:shd w:val="clear" w:color="auto" w:fill="auto"/>
            <w:vAlign w:val="center"/>
          </w:tcPr>
          <w:p w14:paraId="21DCD0A7" w14:textId="77777777" w:rsidR="004A27EE" w:rsidRPr="008F63F5" w:rsidRDefault="004A27EE" w:rsidP="004A27EE">
            <w:pPr>
              <w:tabs>
                <w:tab w:val="left" w:pos="2127"/>
              </w:tabs>
              <w:spacing w:after="0" w:line="240" w:lineRule="auto"/>
              <w:rPr>
                <w:rFonts w:ascii="Arial" w:eastAsia="Times New Roman" w:hAnsi="Arial"/>
                <w:b/>
                <w:sz w:val="20"/>
                <w:szCs w:val="20"/>
              </w:rPr>
            </w:pPr>
          </w:p>
          <w:p w14:paraId="2F3D68F1" w14:textId="77777777" w:rsidR="004A27EE" w:rsidRPr="008F63F5" w:rsidRDefault="004A27EE" w:rsidP="004A27EE">
            <w:pPr>
              <w:tabs>
                <w:tab w:val="left" w:pos="2127"/>
              </w:tabs>
              <w:spacing w:after="0" w:line="240" w:lineRule="auto"/>
              <w:rPr>
                <w:rFonts w:ascii="Arial" w:eastAsia="Times New Roman" w:hAnsi="Arial"/>
                <w:b/>
                <w:sz w:val="20"/>
                <w:szCs w:val="20"/>
              </w:rPr>
            </w:pPr>
          </w:p>
          <w:p w14:paraId="61EFC0F6" w14:textId="77777777" w:rsidR="004A27EE" w:rsidRPr="008F63F5" w:rsidRDefault="004A27EE" w:rsidP="004A27EE">
            <w:pPr>
              <w:tabs>
                <w:tab w:val="left" w:pos="2127"/>
              </w:tabs>
              <w:spacing w:after="0" w:line="240" w:lineRule="auto"/>
              <w:rPr>
                <w:rFonts w:ascii="Arial" w:eastAsia="Times New Roman" w:hAnsi="Arial"/>
                <w:b/>
                <w:sz w:val="20"/>
                <w:szCs w:val="20"/>
              </w:rPr>
            </w:pPr>
            <w:r w:rsidRPr="008F63F5">
              <w:rPr>
                <w:rFonts w:ascii="Arial" w:eastAsia="Times New Roman" w:hAnsi="Arial"/>
                <w:b/>
                <w:sz w:val="20"/>
                <w:szCs w:val="20"/>
              </w:rPr>
              <w:t>Services for which charges are / could be levied</w:t>
            </w:r>
          </w:p>
        </w:tc>
        <w:tc>
          <w:tcPr>
            <w:tcW w:w="1541" w:type="dxa"/>
            <w:shd w:val="clear" w:color="auto" w:fill="auto"/>
            <w:vAlign w:val="center"/>
          </w:tcPr>
          <w:p w14:paraId="45CA8E49" w14:textId="77777777" w:rsidR="004A27EE" w:rsidRPr="008F63F5" w:rsidRDefault="004A27EE" w:rsidP="004A27EE">
            <w:pPr>
              <w:tabs>
                <w:tab w:val="left" w:pos="2127"/>
              </w:tabs>
              <w:spacing w:after="0" w:line="240" w:lineRule="auto"/>
              <w:jc w:val="right"/>
              <w:rPr>
                <w:rFonts w:ascii="Arial" w:eastAsia="Times New Roman" w:hAnsi="Arial"/>
                <w:b/>
                <w:sz w:val="20"/>
                <w:szCs w:val="20"/>
              </w:rPr>
            </w:pPr>
          </w:p>
          <w:p w14:paraId="06C15619" w14:textId="77777777" w:rsidR="004A27EE" w:rsidRPr="008F63F5" w:rsidRDefault="004A27EE" w:rsidP="004A27EE">
            <w:pPr>
              <w:tabs>
                <w:tab w:val="left" w:pos="2127"/>
              </w:tabs>
              <w:spacing w:after="0" w:line="240" w:lineRule="auto"/>
              <w:jc w:val="right"/>
              <w:rPr>
                <w:rFonts w:ascii="Arial" w:eastAsia="Times New Roman" w:hAnsi="Arial"/>
                <w:b/>
                <w:sz w:val="20"/>
                <w:szCs w:val="20"/>
              </w:rPr>
            </w:pPr>
            <w:r w:rsidRPr="008F63F5">
              <w:rPr>
                <w:rFonts w:ascii="Arial" w:eastAsia="Times New Roman" w:hAnsi="Arial"/>
                <w:b/>
                <w:sz w:val="20"/>
                <w:szCs w:val="20"/>
              </w:rPr>
              <w:t xml:space="preserve">Present Charge </w:t>
            </w:r>
          </w:p>
          <w:p w14:paraId="4210ACD0" w14:textId="77777777" w:rsidR="004A27EE" w:rsidRPr="008F63F5" w:rsidRDefault="004A27EE" w:rsidP="004A27EE">
            <w:pPr>
              <w:tabs>
                <w:tab w:val="left" w:pos="2127"/>
              </w:tabs>
              <w:spacing w:after="0" w:line="240" w:lineRule="auto"/>
              <w:jc w:val="right"/>
              <w:rPr>
                <w:rFonts w:ascii="Arial" w:eastAsia="Times New Roman" w:hAnsi="Arial"/>
                <w:b/>
                <w:sz w:val="20"/>
                <w:szCs w:val="20"/>
              </w:rPr>
            </w:pPr>
            <w:r w:rsidRPr="008F63F5">
              <w:rPr>
                <w:rFonts w:ascii="Arial" w:eastAsia="Times New Roman" w:hAnsi="Arial"/>
                <w:b/>
                <w:sz w:val="20"/>
                <w:szCs w:val="20"/>
              </w:rPr>
              <w:t>£</w:t>
            </w:r>
          </w:p>
        </w:tc>
        <w:tc>
          <w:tcPr>
            <w:tcW w:w="1473" w:type="dxa"/>
            <w:shd w:val="clear" w:color="auto" w:fill="auto"/>
            <w:vAlign w:val="center"/>
          </w:tcPr>
          <w:p w14:paraId="14C27617" w14:textId="77777777" w:rsidR="004A27EE" w:rsidRPr="008F63F5" w:rsidRDefault="004A27EE" w:rsidP="004A27EE">
            <w:pPr>
              <w:tabs>
                <w:tab w:val="left" w:pos="2127"/>
              </w:tabs>
              <w:spacing w:after="0" w:line="240" w:lineRule="auto"/>
              <w:jc w:val="right"/>
              <w:rPr>
                <w:rFonts w:ascii="Arial" w:eastAsia="Times New Roman" w:hAnsi="Arial"/>
                <w:b/>
                <w:sz w:val="20"/>
                <w:szCs w:val="20"/>
              </w:rPr>
            </w:pPr>
          </w:p>
          <w:p w14:paraId="0339119F" w14:textId="77777777" w:rsidR="004A27EE" w:rsidRPr="008F63F5" w:rsidRDefault="004A27EE" w:rsidP="004A27EE">
            <w:pPr>
              <w:tabs>
                <w:tab w:val="left" w:pos="2127"/>
              </w:tabs>
              <w:spacing w:after="0" w:line="240" w:lineRule="auto"/>
              <w:jc w:val="right"/>
              <w:rPr>
                <w:rFonts w:ascii="Arial" w:eastAsia="Times New Roman" w:hAnsi="Arial"/>
                <w:b/>
                <w:sz w:val="20"/>
                <w:szCs w:val="20"/>
              </w:rPr>
            </w:pPr>
            <w:r w:rsidRPr="008F63F5">
              <w:rPr>
                <w:rFonts w:ascii="Arial" w:eastAsia="Times New Roman" w:hAnsi="Arial"/>
                <w:b/>
                <w:sz w:val="20"/>
                <w:szCs w:val="20"/>
              </w:rPr>
              <w:t xml:space="preserve">Proposed Charge </w:t>
            </w:r>
          </w:p>
          <w:p w14:paraId="3F65BC41" w14:textId="77777777" w:rsidR="004A27EE" w:rsidRPr="008F63F5" w:rsidRDefault="004A27EE" w:rsidP="004A27EE">
            <w:pPr>
              <w:tabs>
                <w:tab w:val="left" w:pos="2127"/>
              </w:tabs>
              <w:spacing w:after="0" w:line="240" w:lineRule="auto"/>
              <w:jc w:val="right"/>
              <w:rPr>
                <w:rFonts w:ascii="Arial" w:eastAsia="Times New Roman" w:hAnsi="Arial"/>
                <w:b/>
                <w:sz w:val="20"/>
                <w:szCs w:val="20"/>
              </w:rPr>
            </w:pPr>
            <w:r w:rsidRPr="008F63F5">
              <w:rPr>
                <w:rFonts w:ascii="Arial" w:eastAsia="Times New Roman" w:hAnsi="Arial"/>
                <w:b/>
                <w:sz w:val="20"/>
                <w:szCs w:val="20"/>
              </w:rPr>
              <w:t>£</w:t>
            </w:r>
          </w:p>
        </w:tc>
      </w:tr>
      <w:tr w:rsidR="00E0016F" w:rsidRPr="008F63F5" w14:paraId="2BE9CDBC" w14:textId="77777777" w:rsidTr="00853881">
        <w:trPr>
          <w:trHeight w:val="1726"/>
        </w:trPr>
        <w:tc>
          <w:tcPr>
            <w:tcW w:w="6051" w:type="dxa"/>
            <w:shd w:val="clear" w:color="auto" w:fill="auto"/>
          </w:tcPr>
          <w:p w14:paraId="74B17312" w14:textId="77777777" w:rsidR="00E0016F" w:rsidRPr="008F63F5" w:rsidRDefault="00E0016F" w:rsidP="00E0016F">
            <w:pPr>
              <w:tabs>
                <w:tab w:val="left" w:pos="2127"/>
              </w:tabs>
              <w:spacing w:after="0" w:line="240" w:lineRule="auto"/>
              <w:rPr>
                <w:rFonts w:ascii="Arial" w:eastAsia="Times New Roman" w:hAnsi="Arial"/>
                <w:sz w:val="20"/>
                <w:szCs w:val="20"/>
              </w:rPr>
            </w:pPr>
          </w:p>
          <w:p w14:paraId="569866C9" w14:textId="77777777" w:rsidR="00E0016F" w:rsidRPr="008F63F5" w:rsidRDefault="00E0016F" w:rsidP="00E0016F">
            <w:pPr>
              <w:tabs>
                <w:tab w:val="left" w:pos="2127"/>
              </w:tabs>
              <w:spacing w:after="0" w:line="240" w:lineRule="auto"/>
              <w:rPr>
                <w:rFonts w:ascii="Arial" w:eastAsia="Times New Roman" w:hAnsi="Arial"/>
                <w:b/>
                <w:sz w:val="20"/>
                <w:szCs w:val="20"/>
              </w:rPr>
            </w:pPr>
            <w:r w:rsidRPr="008F63F5">
              <w:rPr>
                <w:rFonts w:ascii="Arial" w:eastAsia="Times New Roman" w:hAnsi="Arial"/>
                <w:b/>
                <w:sz w:val="20"/>
                <w:szCs w:val="20"/>
              </w:rPr>
              <w:t>Sheltered Housing Accommodation</w:t>
            </w:r>
          </w:p>
          <w:p w14:paraId="2FAC0091" w14:textId="77777777" w:rsidR="00E0016F" w:rsidRPr="008F63F5" w:rsidRDefault="00E0016F" w:rsidP="00E0016F">
            <w:pPr>
              <w:tabs>
                <w:tab w:val="left" w:pos="2127"/>
              </w:tabs>
              <w:spacing w:after="0" w:line="240" w:lineRule="auto"/>
              <w:rPr>
                <w:rFonts w:ascii="Arial" w:eastAsia="Times New Roman" w:hAnsi="Arial"/>
                <w:sz w:val="20"/>
                <w:szCs w:val="20"/>
              </w:rPr>
            </w:pPr>
            <w:r w:rsidRPr="008F63F5">
              <w:rPr>
                <w:rFonts w:ascii="Arial" w:eastAsia="Times New Roman" w:hAnsi="Arial"/>
                <w:sz w:val="20"/>
                <w:szCs w:val="20"/>
              </w:rPr>
              <w:t>Service charge</w:t>
            </w:r>
          </w:p>
          <w:p w14:paraId="749E8274" w14:textId="77777777" w:rsidR="00E0016F" w:rsidRPr="008F63F5" w:rsidRDefault="00E0016F" w:rsidP="00E0016F">
            <w:pPr>
              <w:tabs>
                <w:tab w:val="left" w:pos="2127"/>
              </w:tabs>
              <w:spacing w:after="0" w:line="240" w:lineRule="auto"/>
              <w:rPr>
                <w:rFonts w:ascii="Arial" w:eastAsia="Times New Roman" w:hAnsi="Arial"/>
                <w:sz w:val="20"/>
                <w:szCs w:val="20"/>
                <w:u w:val="single"/>
              </w:rPr>
            </w:pPr>
          </w:p>
          <w:p w14:paraId="7FFF9CCA" w14:textId="77777777" w:rsidR="00E0016F" w:rsidRPr="008F63F5" w:rsidRDefault="00E0016F" w:rsidP="00E0016F">
            <w:pPr>
              <w:tabs>
                <w:tab w:val="left" w:pos="2127"/>
              </w:tabs>
              <w:spacing w:after="0" w:line="240" w:lineRule="auto"/>
              <w:rPr>
                <w:rFonts w:ascii="Arial" w:eastAsia="Times New Roman" w:hAnsi="Arial"/>
                <w:sz w:val="20"/>
                <w:szCs w:val="20"/>
                <w:u w:val="single"/>
              </w:rPr>
            </w:pPr>
            <w:r w:rsidRPr="008F63F5">
              <w:rPr>
                <w:rFonts w:ascii="Arial" w:eastAsia="Times New Roman" w:hAnsi="Arial"/>
                <w:sz w:val="20"/>
                <w:szCs w:val="20"/>
                <w:u w:val="single"/>
              </w:rPr>
              <w:t>Heating charges</w:t>
            </w:r>
          </w:p>
          <w:p w14:paraId="0C2EECF1" w14:textId="77777777" w:rsidR="00E0016F" w:rsidRPr="008F63F5" w:rsidRDefault="00E0016F" w:rsidP="00E0016F">
            <w:pPr>
              <w:tabs>
                <w:tab w:val="left" w:pos="2127"/>
              </w:tabs>
              <w:spacing w:after="0" w:line="240" w:lineRule="auto"/>
              <w:rPr>
                <w:rFonts w:ascii="Arial" w:eastAsia="Times New Roman" w:hAnsi="Arial"/>
                <w:sz w:val="20"/>
                <w:szCs w:val="20"/>
              </w:rPr>
            </w:pPr>
            <w:r w:rsidRPr="008F63F5">
              <w:rPr>
                <w:rFonts w:ascii="Arial" w:eastAsia="Times New Roman" w:hAnsi="Arial"/>
                <w:sz w:val="20"/>
                <w:szCs w:val="20"/>
              </w:rPr>
              <w:t>Brington Place</w:t>
            </w:r>
          </w:p>
          <w:p w14:paraId="7F44A141" w14:textId="77777777" w:rsidR="00E0016F" w:rsidRPr="008F63F5" w:rsidRDefault="00E0016F" w:rsidP="00E0016F">
            <w:pPr>
              <w:tabs>
                <w:tab w:val="left" w:pos="2127"/>
              </w:tabs>
              <w:spacing w:after="0" w:line="240" w:lineRule="auto"/>
              <w:rPr>
                <w:rFonts w:ascii="Arial" w:eastAsia="Times New Roman" w:hAnsi="Arial"/>
                <w:sz w:val="20"/>
                <w:szCs w:val="20"/>
              </w:rPr>
            </w:pPr>
            <w:r w:rsidRPr="008F63F5">
              <w:rPr>
                <w:rFonts w:ascii="Arial" w:eastAsia="Times New Roman" w:hAnsi="Arial"/>
                <w:sz w:val="20"/>
                <w:szCs w:val="20"/>
              </w:rPr>
              <w:t>Baluniefield</w:t>
            </w:r>
          </w:p>
          <w:p w14:paraId="06EB344D" w14:textId="77777777" w:rsidR="00E0016F" w:rsidRPr="008F63F5" w:rsidRDefault="00E0016F" w:rsidP="00E0016F">
            <w:pPr>
              <w:tabs>
                <w:tab w:val="left" w:pos="2127"/>
              </w:tabs>
              <w:spacing w:after="0" w:line="240" w:lineRule="auto"/>
              <w:rPr>
                <w:rFonts w:ascii="Arial" w:eastAsia="Times New Roman" w:hAnsi="Arial"/>
                <w:sz w:val="20"/>
                <w:szCs w:val="20"/>
              </w:rPr>
            </w:pPr>
          </w:p>
        </w:tc>
        <w:tc>
          <w:tcPr>
            <w:tcW w:w="1541" w:type="dxa"/>
            <w:shd w:val="clear" w:color="auto" w:fill="auto"/>
          </w:tcPr>
          <w:p w14:paraId="084220DA" w14:textId="77777777" w:rsidR="00E0016F" w:rsidRPr="00E0016F" w:rsidRDefault="00E0016F" w:rsidP="00E0016F">
            <w:pPr>
              <w:tabs>
                <w:tab w:val="left" w:pos="2127"/>
              </w:tabs>
              <w:spacing w:after="0" w:line="240" w:lineRule="auto"/>
              <w:jc w:val="right"/>
              <w:rPr>
                <w:rFonts w:ascii="Arial" w:eastAsia="Times New Roman" w:hAnsi="Arial"/>
                <w:sz w:val="20"/>
                <w:szCs w:val="20"/>
              </w:rPr>
            </w:pPr>
          </w:p>
          <w:p w14:paraId="6BF30B7B" w14:textId="77777777" w:rsidR="00E0016F" w:rsidRPr="00E0016F" w:rsidRDefault="00E0016F" w:rsidP="00E0016F">
            <w:pPr>
              <w:tabs>
                <w:tab w:val="left" w:pos="2127"/>
              </w:tabs>
              <w:spacing w:after="0" w:line="240" w:lineRule="auto"/>
              <w:jc w:val="right"/>
              <w:rPr>
                <w:rFonts w:ascii="Arial" w:eastAsia="Times New Roman" w:hAnsi="Arial"/>
                <w:sz w:val="20"/>
                <w:szCs w:val="20"/>
              </w:rPr>
            </w:pPr>
          </w:p>
          <w:p w14:paraId="660C680A" w14:textId="77777777" w:rsidR="00E0016F" w:rsidRPr="00E0016F" w:rsidRDefault="00E0016F" w:rsidP="00E0016F">
            <w:pPr>
              <w:tabs>
                <w:tab w:val="left" w:pos="2127"/>
              </w:tabs>
              <w:spacing w:after="0" w:line="240" w:lineRule="auto"/>
              <w:jc w:val="right"/>
              <w:rPr>
                <w:rFonts w:ascii="Arial" w:eastAsia="Times New Roman" w:hAnsi="Arial"/>
                <w:sz w:val="20"/>
                <w:szCs w:val="20"/>
              </w:rPr>
            </w:pPr>
            <w:r w:rsidRPr="00E0016F">
              <w:rPr>
                <w:rFonts w:ascii="Arial" w:eastAsia="Times New Roman" w:hAnsi="Arial"/>
                <w:sz w:val="20"/>
                <w:szCs w:val="20"/>
              </w:rPr>
              <w:t>28.58</w:t>
            </w:r>
          </w:p>
          <w:p w14:paraId="0500394E" w14:textId="77777777" w:rsidR="00E0016F" w:rsidRPr="00E0016F" w:rsidRDefault="00E0016F" w:rsidP="00E0016F">
            <w:pPr>
              <w:tabs>
                <w:tab w:val="left" w:pos="2127"/>
              </w:tabs>
              <w:spacing w:after="0" w:line="240" w:lineRule="auto"/>
              <w:jc w:val="right"/>
              <w:rPr>
                <w:rFonts w:ascii="Arial" w:eastAsia="Times New Roman" w:hAnsi="Arial"/>
                <w:sz w:val="20"/>
                <w:szCs w:val="20"/>
              </w:rPr>
            </w:pPr>
          </w:p>
          <w:p w14:paraId="74A30780" w14:textId="77777777" w:rsidR="00E0016F" w:rsidRPr="00E0016F" w:rsidRDefault="00E0016F" w:rsidP="00E0016F">
            <w:pPr>
              <w:tabs>
                <w:tab w:val="left" w:pos="2127"/>
              </w:tabs>
              <w:spacing w:after="0" w:line="240" w:lineRule="auto"/>
              <w:jc w:val="right"/>
              <w:rPr>
                <w:rFonts w:ascii="Arial" w:eastAsia="Times New Roman" w:hAnsi="Arial"/>
                <w:sz w:val="20"/>
                <w:szCs w:val="20"/>
              </w:rPr>
            </w:pPr>
          </w:p>
          <w:p w14:paraId="2D63B31C" w14:textId="77777777" w:rsidR="00E0016F" w:rsidRPr="00E0016F" w:rsidRDefault="00E0016F" w:rsidP="00E0016F">
            <w:pPr>
              <w:tabs>
                <w:tab w:val="left" w:pos="2127"/>
              </w:tabs>
              <w:spacing w:after="0" w:line="240" w:lineRule="auto"/>
              <w:jc w:val="right"/>
              <w:rPr>
                <w:rFonts w:ascii="Arial" w:eastAsia="Times New Roman" w:hAnsi="Arial"/>
                <w:sz w:val="20"/>
                <w:szCs w:val="20"/>
              </w:rPr>
            </w:pPr>
            <w:r w:rsidRPr="00E0016F">
              <w:rPr>
                <w:rFonts w:ascii="Arial" w:eastAsia="Times New Roman" w:hAnsi="Arial"/>
                <w:sz w:val="20"/>
                <w:szCs w:val="20"/>
              </w:rPr>
              <w:t>6.46</w:t>
            </w:r>
          </w:p>
          <w:p w14:paraId="64DB0B84" w14:textId="77777777" w:rsidR="00E0016F" w:rsidRPr="00E0016F" w:rsidRDefault="00E0016F" w:rsidP="00E0016F">
            <w:pPr>
              <w:tabs>
                <w:tab w:val="left" w:pos="2127"/>
              </w:tabs>
              <w:spacing w:after="0" w:line="240" w:lineRule="auto"/>
              <w:jc w:val="right"/>
              <w:rPr>
                <w:rFonts w:ascii="Arial" w:eastAsia="Times New Roman" w:hAnsi="Arial"/>
                <w:sz w:val="20"/>
                <w:szCs w:val="20"/>
              </w:rPr>
            </w:pPr>
            <w:r w:rsidRPr="00E0016F">
              <w:rPr>
                <w:rFonts w:ascii="Arial" w:eastAsia="Times New Roman" w:hAnsi="Arial"/>
                <w:sz w:val="20"/>
                <w:szCs w:val="20"/>
              </w:rPr>
              <w:t>7.11</w:t>
            </w:r>
          </w:p>
        </w:tc>
        <w:tc>
          <w:tcPr>
            <w:tcW w:w="1473" w:type="dxa"/>
            <w:shd w:val="clear" w:color="auto" w:fill="auto"/>
          </w:tcPr>
          <w:p w14:paraId="4255B8B2" w14:textId="77777777" w:rsidR="00E0016F" w:rsidRPr="003A0F66" w:rsidRDefault="00E0016F" w:rsidP="00E0016F">
            <w:pPr>
              <w:tabs>
                <w:tab w:val="left" w:pos="2127"/>
              </w:tabs>
              <w:spacing w:after="0" w:line="240" w:lineRule="auto"/>
              <w:jc w:val="right"/>
              <w:rPr>
                <w:rFonts w:ascii="Arial" w:eastAsia="Times New Roman" w:hAnsi="Arial"/>
                <w:color w:val="000000" w:themeColor="text1"/>
                <w:sz w:val="20"/>
                <w:szCs w:val="20"/>
              </w:rPr>
            </w:pPr>
          </w:p>
          <w:p w14:paraId="6D9B5429" w14:textId="77777777" w:rsidR="00E0016F" w:rsidRPr="003A0F66" w:rsidRDefault="00E0016F" w:rsidP="00E0016F">
            <w:pPr>
              <w:tabs>
                <w:tab w:val="left" w:pos="2127"/>
              </w:tabs>
              <w:spacing w:after="0" w:line="240" w:lineRule="auto"/>
              <w:jc w:val="right"/>
              <w:rPr>
                <w:rFonts w:ascii="Arial" w:eastAsia="Times New Roman" w:hAnsi="Arial"/>
                <w:color w:val="000000" w:themeColor="text1"/>
                <w:sz w:val="20"/>
                <w:szCs w:val="20"/>
              </w:rPr>
            </w:pPr>
          </w:p>
          <w:p w14:paraId="7AF89E61" w14:textId="77777777" w:rsidR="00E0016F" w:rsidRPr="003A0F66" w:rsidRDefault="00E0016F" w:rsidP="00E0016F">
            <w:pPr>
              <w:tabs>
                <w:tab w:val="left" w:pos="2127"/>
              </w:tabs>
              <w:spacing w:after="0" w:line="240" w:lineRule="auto"/>
              <w:jc w:val="right"/>
              <w:rPr>
                <w:rFonts w:ascii="Arial" w:eastAsia="Times New Roman" w:hAnsi="Arial"/>
                <w:color w:val="000000" w:themeColor="text1"/>
                <w:sz w:val="20"/>
                <w:szCs w:val="20"/>
              </w:rPr>
            </w:pPr>
            <w:r w:rsidRPr="003A0F66">
              <w:rPr>
                <w:rFonts w:ascii="Arial" w:eastAsia="Times New Roman" w:hAnsi="Arial"/>
                <w:color w:val="000000" w:themeColor="text1"/>
                <w:sz w:val="20"/>
                <w:szCs w:val="20"/>
              </w:rPr>
              <w:t>28.58</w:t>
            </w:r>
          </w:p>
          <w:p w14:paraId="2EE0E840" w14:textId="77777777" w:rsidR="00E0016F" w:rsidRPr="003A0F66" w:rsidRDefault="00E0016F" w:rsidP="00E0016F">
            <w:pPr>
              <w:tabs>
                <w:tab w:val="left" w:pos="2127"/>
              </w:tabs>
              <w:spacing w:after="0" w:line="240" w:lineRule="auto"/>
              <w:jc w:val="right"/>
              <w:rPr>
                <w:rFonts w:ascii="Arial" w:eastAsia="Times New Roman" w:hAnsi="Arial"/>
                <w:color w:val="000000" w:themeColor="text1"/>
                <w:sz w:val="20"/>
                <w:szCs w:val="20"/>
              </w:rPr>
            </w:pPr>
          </w:p>
          <w:p w14:paraId="053AA037" w14:textId="77777777" w:rsidR="00E0016F" w:rsidRPr="003A0F66" w:rsidRDefault="00E0016F" w:rsidP="00E0016F">
            <w:pPr>
              <w:tabs>
                <w:tab w:val="left" w:pos="2127"/>
              </w:tabs>
              <w:spacing w:after="0" w:line="240" w:lineRule="auto"/>
              <w:jc w:val="right"/>
              <w:rPr>
                <w:rFonts w:ascii="Arial" w:eastAsia="Times New Roman" w:hAnsi="Arial"/>
                <w:color w:val="000000" w:themeColor="text1"/>
                <w:sz w:val="20"/>
                <w:szCs w:val="20"/>
              </w:rPr>
            </w:pPr>
          </w:p>
          <w:p w14:paraId="352123F7" w14:textId="77777777" w:rsidR="00E0016F" w:rsidRPr="003A0F66" w:rsidRDefault="00E0016F" w:rsidP="00E0016F">
            <w:pPr>
              <w:tabs>
                <w:tab w:val="left" w:pos="2127"/>
              </w:tabs>
              <w:spacing w:after="0" w:line="240" w:lineRule="auto"/>
              <w:jc w:val="right"/>
              <w:rPr>
                <w:rFonts w:ascii="Arial" w:eastAsia="Times New Roman" w:hAnsi="Arial"/>
                <w:color w:val="000000" w:themeColor="text1"/>
                <w:sz w:val="20"/>
                <w:szCs w:val="20"/>
              </w:rPr>
            </w:pPr>
            <w:r w:rsidRPr="003A0F66">
              <w:rPr>
                <w:rFonts w:ascii="Arial" w:eastAsia="Times New Roman" w:hAnsi="Arial"/>
                <w:color w:val="000000" w:themeColor="text1"/>
                <w:sz w:val="20"/>
                <w:szCs w:val="20"/>
              </w:rPr>
              <w:t>6.46</w:t>
            </w:r>
          </w:p>
          <w:p w14:paraId="536D873B" w14:textId="77777777" w:rsidR="00E0016F" w:rsidRPr="003A0F66" w:rsidRDefault="00E0016F" w:rsidP="00E0016F">
            <w:pPr>
              <w:tabs>
                <w:tab w:val="left" w:pos="2127"/>
              </w:tabs>
              <w:spacing w:after="0" w:line="240" w:lineRule="auto"/>
              <w:jc w:val="right"/>
              <w:rPr>
                <w:rFonts w:ascii="Arial" w:eastAsia="Times New Roman" w:hAnsi="Arial"/>
                <w:color w:val="000000" w:themeColor="text1"/>
                <w:sz w:val="20"/>
                <w:szCs w:val="20"/>
              </w:rPr>
            </w:pPr>
            <w:r w:rsidRPr="003A0F66">
              <w:rPr>
                <w:rFonts w:ascii="Arial" w:eastAsia="Times New Roman" w:hAnsi="Arial"/>
                <w:color w:val="000000" w:themeColor="text1"/>
                <w:sz w:val="20"/>
                <w:szCs w:val="20"/>
              </w:rPr>
              <w:t>7.11</w:t>
            </w:r>
          </w:p>
        </w:tc>
      </w:tr>
      <w:tr w:rsidR="00E0016F" w:rsidRPr="008F63F5" w14:paraId="1EF58F2E" w14:textId="77777777" w:rsidTr="00853881">
        <w:trPr>
          <w:trHeight w:val="1169"/>
        </w:trPr>
        <w:tc>
          <w:tcPr>
            <w:tcW w:w="6051" w:type="dxa"/>
            <w:shd w:val="clear" w:color="auto" w:fill="auto"/>
          </w:tcPr>
          <w:p w14:paraId="43865CF8" w14:textId="77777777" w:rsidR="00E0016F" w:rsidRPr="008F63F5" w:rsidRDefault="00E0016F" w:rsidP="00E0016F">
            <w:pPr>
              <w:tabs>
                <w:tab w:val="left" w:pos="2127"/>
              </w:tabs>
              <w:spacing w:after="0" w:line="240" w:lineRule="auto"/>
              <w:rPr>
                <w:rFonts w:ascii="Arial" w:eastAsia="Times New Roman" w:hAnsi="Arial"/>
                <w:sz w:val="20"/>
                <w:szCs w:val="20"/>
              </w:rPr>
            </w:pPr>
          </w:p>
          <w:p w14:paraId="14A96E5D" w14:textId="77777777" w:rsidR="00E0016F" w:rsidRPr="008F63F5" w:rsidRDefault="00E0016F" w:rsidP="00E0016F">
            <w:pPr>
              <w:tabs>
                <w:tab w:val="left" w:pos="2127"/>
              </w:tabs>
              <w:spacing w:after="0" w:line="240" w:lineRule="auto"/>
              <w:rPr>
                <w:rFonts w:ascii="Arial" w:eastAsia="Times New Roman" w:hAnsi="Arial"/>
                <w:sz w:val="20"/>
                <w:szCs w:val="20"/>
              </w:rPr>
            </w:pPr>
            <w:r w:rsidRPr="00853881">
              <w:rPr>
                <w:rFonts w:ascii="Arial" w:eastAsia="Times New Roman" w:hAnsi="Arial"/>
                <w:b/>
                <w:sz w:val="20"/>
                <w:szCs w:val="20"/>
              </w:rPr>
              <w:t xml:space="preserve">Car Parking </w:t>
            </w:r>
            <w:r w:rsidRPr="00853881">
              <w:rPr>
                <w:rFonts w:ascii="Arial" w:eastAsia="Times New Roman" w:hAnsi="Arial"/>
                <w:sz w:val="20"/>
                <w:szCs w:val="20"/>
                <w:vertAlign w:val="superscript"/>
              </w:rPr>
              <w:t>(2)</w:t>
            </w:r>
          </w:p>
          <w:p w14:paraId="42FB9836" w14:textId="77777777" w:rsidR="00E0016F" w:rsidRPr="008F63F5" w:rsidRDefault="00E0016F" w:rsidP="00E0016F">
            <w:pPr>
              <w:tabs>
                <w:tab w:val="left" w:pos="2127"/>
              </w:tabs>
              <w:spacing w:after="0" w:line="240" w:lineRule="auto"/>
              <w:rPr>
                <w:rFonts w:ascii="Arial" w:eastAsia="Times New Roman" w:hAnsi="Arial"/>
                <w:sz w:val="20"/>
                <w:szCs w:val="20"/>
              </w:rPr>
            </w:pPr>
            <w:r w:rsidRPr="008F63F5">
              <w:rPr>
                <w:rFonts w:ascii="Arial" w:eastAsia="Times New Roman" w:hAnsi="Arial"/>
                <w:sz w:val="20"/>
                <w:szCs w:val="20"/>
              </w:rPr>
              <w:t>Garages / lock ups</w:t>
            </w:r>
          </w:p>
          <w:p w14:paraId="490B32D2" w14:textId="77777777" w:rsidR="00E0016F" w:rsidRPr="008F63F5" w:rsidRDefault="00E0016F" w:rsidP="00E0016F">
            <w:pPr>
              <w:tabs>
                <w:tab w:val="left" w:pos="2127"/>
              </w:tabs>
              <w:spacing w:after="0" w:line="240" w:lineRule="auto"/>
              <w:rPr>
                <w:rFonts w:ascii="Arial" w:eastAsia="Times New Roman" w:hAnsi="Arial"/>
                <w:sz w:val="20"/>
                <w:szCs w:val="20"/>
              </w:rPr>
            </w:pPr>
            <w:r>
              <w:rPr>
                <w:rFonts w:ascii="Arial" w:eastAsia="Times New Roman" w:hAnsi="Arial"/>
                <w:sz w:val="20"/>
                <w:szCs w:val="20"/>
              </w:rPr>
              <w:t>Garage sites</w:t>
            </w:r>
          </w:p>
        </w:tc>
        <w:tc>
          <w:tcPr>
            <w:tcW w:w="1541" w:type="dxa"/>
            <w:shd w:val="clear" w:color="auto" w:fill="auto"/>
          </w:tcPr>
          <w:p w14:paraId="4DA98F02" w14:textId="77777777" w:rsidR="00E0016F" w:rsidRPr="00E0016F" w:rsidRDefault="00E0016F" w:rsidP="00E0016F">
            <w:pPr>
              <w:tabs>
                <w:tab w:val="left" w:pos="2127"/>
              </w:tabs>
              <w:spacing w:after="0" w:line="240" w:lineRule="auto"/>
              <w:jc w:val="right"/>
              <w:rPr>
                <w:rFonts w:ascii="Arial" w:eastAsia="Times New Roman" w:hAnsi="Arial"/>
                <w:sz w:val="20"/>
                <w:szCs w:val="20"/>
              </w:rPr>
            </w:pPr>
          </w:p>
          <w:p w14:paraId="7CE02F11" w14:textId="77777777" w:rsidR="00E0016F" w:rsidRPr="00E0016F" w:rsidRDefault="00E0016F" w:rsidP="00E0016F">
            <w:pPr>
              <w:tabs>
                <w:tab w:val="left" w:pos="2127"/>
              </w:tabs>
              <w:spacing w:after="0" w:line="240" w:lineRule="auto"/>
              <w:jc w:val="right"/>
              <w:rPr>
                <w:rFonts w:ascii="Arial" w:eastAsia="Times New Roman" w:hAnsi="Arial"/>
                <w:sz w:val="20"/>
                <w:szCs w:val="20"/>
              </w:rPr>
            </w:pPr>
          </w:p>
          <w:p w14:paraId="3F7A9C3B" w14:textId="77777777" w:rsidR="00E0016F" w:rsidRPr="00E0016F" w:rsidRDefault="00E0016F" w:rsidP="00E0016F">
            <w:pPr>
              <w:tabs>
                <w:tab w:val="left" w:pos="2127"/>
              </w:tabs>
              <w:spacing w:after="0" w:line="240" w:lineRule="auto"/>
              <w:jc w:val="right"/>
              <w:rPr>
                <w:rFonts w:ascii="Arial" w:eastAsia="Times New Roman" w:hAnsi="Arial"/>
                <w:sz w:val="20"/>
                <w:szCs w:val="20"/>
              </w:rPr>
            </w:pPr>
            <w:r w:rsidRPr="00E0016F">
              <w:rPr>
                <w:rFonts w:ascii="Arial" w:eastAsia="Times New Roman" w:hAnsi="Arial"/>
                <w:sz w:val="20"/>
                <w:szCs w:val="20"/>
              </w:rPr>
              <w:t>9.</w:t>
            </w:r>
            <w:r w:rsidR="00DE0490">
              <w:rPr>
                <w:rFonts w:ascii="Arial" w:eastAsia="Times New Roman" w:hAnsi="Arial"/>
                <w:sz w:val="20"/>
                <w:szCs w:val="20"/>
              </w:rPr>
              <w:t>5</w:t>
            </w:r>
            <w:r w:rsidRPr="00E0016F">
              <w:rPr>
                <w:rFonts w:ascii="Arial" w:eastAsia="Times New Roman" w:hAnsi="Arial"/>
                <w:sz w:val="20"/>
                <w:szCs w:val="20"/>
              </w:rPr>
              <w:t>0</w:t>
            </w:r>
          </w:p>
          <w:p w14:paraId="5DC8636A" w14:textId="77777777" w:rsidR="00E0016F" w:rsidRPr="00E0016F" w:rsidRDefault="00E0016F" w:rsidP="00E0016F">
            <w:pPr>
              <w:tabs>
                <w:tab w:val="left" w:pos="2127"/>
              </w:tabs>
              <w:spacing w:after="0" w:line="240" w:lineRule="auto"/>
              <w:jc w:val="right"/>
              <w:rPr>
                <w:rFonts w:ascii="Arial" w:eastAsia="Times New Roman" w:hAnsi="Arial"/>
                <w:sz w:val="20"/>
                <w:szCs w:val="20"/>
              </w:rPr>
            </w:pPr>
            <w:r w:rsidRPr="00E0016F">
              <w:rPr>
                <w:rFonts w:ascii="Arial" w:eastAsia="Times New Roman" w:hAnsi="Arial"/>
                <w:sz w:val="20"/>
                <w:szCs w:val="20"/>
              </w:rPr>
              <w:t>2.7</w:t>
            </w:r>
            <w:r w:rsidR="00DE0490">
              <w:rPr>
                <w:rFonts w:ascii="Arial" w:eastAsia="Times New Roman" w:hAnsi="Arial"/>
                <w:sz w:val="20"/>
                <w:szCs w:val="20"/>
              </w:rPr>
              <w:t>5</w:t>
            </w:r>
          </w:p>
        </w:tc>
        <w:tc>
          <w:tcPr>
            <w:tcW w:w="1473" w:type="dxa"/>
            <w:shd w:val="clear" w:color="auto" w:fill="auto"/>
          </w:tcPr>
          <w:p w14:paraId="6B9ACD7F" w14:textId="77777777" w:rsidR="00E0016F" w:rsidRPr="003A0F66" w:rsidRDefault="00E0016F" w:rsidP="00E0016F">
            <w:pPr>
              <w:tabs>
                <w:tab w:val="left" w:pos="2127"/>
              </w:tabs>
              <w:spacing w:after="0" w:line="240" w:lineRule="auto"/>
              <w:jc w:val="right"/>
              <w:rPr>
                <w:rFonts w:ascii="Arial" w:eastAsia="Times New Roman" w:hAnsi="Arial"/>
                <w:color w:val="000000" w:themeColor="text1"/>
                <w:sz w:val="20"/>
                <w:szCs w:val="20"/>
              </w:rPr>
            </w:pPr>
          </w:p>
          <w:p w14:paraId="2CCA61DF" w14:textId="77777777" w:rsidR="00E0016F" w:rsidRPr="003A0F66" w:rsidRDefault="00E0016F" w:rsidP="00E0016F">
            <w:pPr>
              <w:tabs>
                <w:tab w:val="left" w:pos="2127"/>
              </w:tabs>
              <w:spacing w:after="0" w:line="240" w:lineRule="auto"/>
              <w:jc w:val="right"/>
              <w:rPr>
                <w:rFonts w:ascii="Arial" w:eastAsia="Times New Roman" w:hAnsi="Arial"/>
                <w:color w:val="000000" w:themeColor="text1"/>
                <w:sz w:val="20"/>
                <w:szCs w:val="20"/>
              </w:rPr>
            </w:pPr>
          </w:p>
          <w:p w14:paraId="6B196EAB" w14:textId="77777777" w:rsidR="00E0016F" w:rsidRPr="003A0F66" w:rsidRDefault="00DE0490" w:rsidP="00E0016F">
            <w:pPr>
              <w:tabs>
                <w:tab w:val="left" w:pos="2127"/>
              </w:tabs>
              <w:spacing w:after="0" w:line="240" w:lineRule="auto"/>
              <w:jc w:val="right"/>
              <w:rPr>
                <w:rFonts w:ascii="Arial" w:eastAsia="Times New Roman" w:hAnsi="Arial"/>
                <w:color w:val="000000" w:themeColor="text1"/>
                <w:sz w:val="20"/>
                <w:szCs w:val="20"/>
              </w:rPr>
            </w:pPr>
            <w:r>
              <w:rPr>
                <w:rFonts w:ascii="Arial" w:eastAsia="Times New Roman" w:hAnsi="Arial"/>
                <w:color w:val="000000" w:themeColor="text1"/>
                <w:sz w:val="20"/>
                <w:szCs w:val="20"/>
              </w:rPr>
              <w:t>10.00</w:t>
            </w:r>
          </w:p>
          <w:p w14:paraId="49B77AF9" w14:textId="77777777" w:rsidR="00E0016F" w:rsidRPr="003A0F66" w:rsidRDefault="00E0016F" w:rsidP="00E0016F">
            <w:pPr>
              <w:tabs>
                <w:tab w:val="left" w:pos="2127"/>
              </w:tabs>
              <w:spacing w:after="0" w:line="240" w:lineRule="auto"/>
              <w:jc w:val="right"/>
              <w:rPr>
                <w:rFonts w:ascii="Arial" w:eastAsia="Times New Roman" w:hAnsi="Arial"/>
                <w:color w:val="000000" w:themeColor="text1"/>
                <w:sz w:val="20"/>
                <w:szCs w:val="20"/>
              </w:rPr>
            </w:pPr>
            <w:r w:rsidRPr="003A0F66">
              <w:rPr>
                <w:rFonts w:ascii="Arial" w:eastAsia="Times New Roman" w:hAnsi="Arial"/>
                <w:color w:val="000000" w:themeColor="text1"/>
                <w:sz w:val="20"/>
                <w:szCs w:val="20"/>
              </w:rPr>
              <w:t>2.</w:t>
            </w:r>
            <w:r w:rsidR="00DE0490">
              <w:rPr>
                <w:rFonts w:ascii="Arial" w:eastAsia="Times New Roman" w:hAnsi="Arial"/>
                <w:color w:val="000000" w:themeColor="text1"/>
                <w:sz w:val="20"/>
                <w:szCs w:val="20"/>
              </w:rPr>
              <w:t>8</w:t>
            </w:r>
            <w:r w:rsidR="003A0F66" w:rsidRPr="003A0F66">
              <w:rPr>
                <w:rFonts w:ascii="Arial" w:eastAsia="Times New Roman" w:hAnsi="Arial"/>
                <w:color w:val="000000" w:themeColor="text1"/>
                <w:sz w:val="20"/>
                <w:szCs w:val="20"/>
              </w:rPr>
              <w:t>5</w:t>
            </w:r>
          </w:p>
        </w:tc>
      </w:tr>
      <w:tr w:rsidR="00E0016F" w:rsidRPr="008F63F5" w14:paraId="408B19F3" w14:textId="77777777" w:rsidTr="00853881">
        <w:trPr>
          <w:trHeight w:val="4046"/>
        </w:trPr>
        <w:tc>
          <w:tcPr>
            <w:tcW w:w="6051" w:type="dxa"/>
            <w:shd w:val="clear" w:color="auto" w:fill="auto"/>
          </w:tcPr>
          <w:p w14:paraId="4D82A0B1" w14:textId="77777777" w:rsidR="00E0016F" w:rsidRPr="006D0B14" w:rsidRDefault="00E0016F" w:rsidP="00E0016F">
            <w:pPr>
              <w:tabs>
                <w:tab w:val="left" w:pos="2127"/>
              </w:tabs>
              <w:spacing w:after="0" w:line="240" w:lineRule="auto"/>
              <w:rPr>
                <w:rFonts w:ascii="Arial" w:eastAsia="Times New Roman" w:hAnsi="Arial"/>
                <w:sz w:val="20"/>
                <w:szCs w:val="24"/>
              </w:rPr>
            </w:pPr>
          </w:p>
          <w:p w14:paraId="275B7CFF" w14:textId="77777777" w:rsidR="00E0016F" w:rsidRPr="006D0B14" w:rsidRDefault="00E0016F" w:rsidP="00E0016F">
            <w:pPr>
              <w:tabs>
                <w:tab w:val="left" w:pos="2127"/>
              </w:tabs>
              <w:spacing w:after="0" w:line="240" w:lineRule="auto"/>
              <w:rPr>
                <w:rFonts w:ascii="Arial" w:eastAsia="Times New Roman" w:hAnsi="Arial"/>
                <w:b/>
                <w:sz w:val="20"/>
                <w:szCs w:val="24"/>
              </w:rPr>
            </w:pPr>
            <w:r w:rsidRPr="006D0B14">
              <w:rPr>
                <w:rFonts w:ascii="Arial" w:eastAsia="Times New Roman" w:hAnsi="Arial"/>
                <w:b/>
                <w:sz w:val="20"/>
                <w:szCs w:val="24"/>
              </w:rPr>
              <w:t>Other Housing Charges</w:t>
            </w:r>
          </w:p>
          <w:p w14:paraId="7BD6FC2E" w14:textId="77777777" w:rsidR="00E0016F" w:rsidRPr="006D0B14" w:rsidRDefault="00E0016F" w:rsidP="00E0016F">
            <w:pPr>
              <w:tabs>
                <w:tab w:val="left" w:pos="2127"/>
              </w:tabs>
              <w:spacing w:after="0" w:line="240" w:lineRule="auto"/>
              <w:rPr>
                <w:rFonts w:ascii="Arial" w:eastAsia="Times New Roman" w:hAnsi="Arial"/>
                <w:sz w:val="20"/>
                <w:szCs w:val="24"/>
              </w:rPr>
            </w:pPr>
          </w:p>
          <w:p w14:paraId="01955DBC" w14:textId="77777777" w:rsidR="00E0016F" w:rsidRPr="006D0B14" w:rsidRDefault="00E0016F" w:rsidP="00E0016F">
            <w:pPr>
              <w:tabs>
                <w:tab w:val="left" w:pos="2127"/>
              </w:tabs>
              <w:spacing w:after="0" w:line="240" w:lineRule="auto"/>
              <w:rPr>
                <w:rFonts w:ascii="Arial" w:eastAsia="Times New Roman" w:hAnsi="Arial"/>
                <w:sz w:val="20"/>
                <w:szCs w:val="24"/>
                <w:u w:val="single"/>
              </w:rPr>
            </w:pPr>
            <w:r w:rsidRPr="006D0B14">
              <w:rPr>
                <w:rFonts w:ascii="Arial" w:eastAsia="Times New Roman" w:hAnsi="Arial"/>
                <w:sz w:val="20"/>
                <w:szCs w:val="24"/>
                <w:u w:val="single"/>
              </w:rPr>
              <w:t>Multi-storey laundrette</w:t>
            </w:r>
          </w:p>
          <w:p w14:paraId="5A39B3DC" w14:textId="77777777" w:rsidR="00E0016F" w:rsidRPr="006D0B14" w:rsidRDefault="00E0016F" w:rsidP="00E0016F">
            <w:pPr>
              <w:tabs>
                <w:tab w:val="left" w:pos="2127"/>
              </w:tabs>
              <w:spacing w:after="0" w:line="240" w:lineRule="auto"/>
              <w:rPr>
                <w:rFonts w:ascii="Arial" w:eastAsia="Times New Roman" w:hAnsi="Arial"/>
                <w:sz w:val="20"/>
                <w:szCs w:val="24"/>
              </w:rPr>
            </w:pPr>
            <w:r w:rsidRPr="006D0B14">
              <w:rPr>
                <w:rFonts w:ascii="Arial" w:eastAsia="Times New Roman" w:hAnsi="Arial"/>
                <w:sz w:val="20"/>
                <w:szCs w:val="24"/>
              </w:rPr>
              <w:t>Auto wash (per use)</w:t>
            </w:r>
          </w:p>
          <w:p w14:paraId="72B5F276" w14:textId="77777777" w:rsidR="00E0016F" w:rsidRPr="006D0B14" w:rsidRDefault="00E0016F" w:rsidP="00E0016F">
            <w:pPr>
              <w:tabs>
                <w:tab w:val="left" w:pos="2127"/>
              </w:tabs>
              <w:spacing w:after="0" w:line="240" w:lineRule="auto"/>
              <w:rPr>
                <w:rFonts w:ascii="Arial" w:eastAsia="Times New Roman" w:hAnsi="Arial"/>
                <w:sz w:val="20"/>
                <w:szCs w:val="24"/>
              </w:rPr>
            </w:pPr>
            <w:r w:rsidRPr="006D0B14">
              <w:rPr>
                <w:rFonts w:ascii="Arial" w:eastAsia="Times New Roman" w:hAnsi="Arial"/>
                <w:sz w:val="20"/>
                <w:szCs w:val="24"/>
              </w:rPr>
              <w:t>Tumble dryer (per use)</w:t>
            </w:r>
          </w:p>
          <w:p w14:paraId="4923819E" w14:textId="77777777" w:rsidR="00E0016F" w:rsidRPr="006D0B14" w:rsidRDefault="00E0016F" w:rsidP="00E0016F">
            <w:pPr>
              <w:tabs>
                <w:tab w:val="left" w:pos="2127"/>
              </w:tabs>
              <w:spacing w:after="0" w:line="240" w:lineRule="auto"/>
              <w:rPr>
                <w:rFonts w:ascii="Arial" w:eastAsia="Times New Roman" w:hAnsi="Arial"/>
                <w:sz w:val="20"/>
                <w:szCs w:val="24"/>
              </w:rPr>
            </w:pPr>
            <w:r w:rsidRPr="006D0B14">
              <w:rPr>
                <w:rFonts w:ascii="Arial" w:eastAsia="Times New Roman" w:hAnsi="Arial"/>
                <w:sz w:val="20"/>
                <w:szCs w:val="24"/>
              </w:rPr>
              <w:t>Cabinet dryer (per use)</w:t>
            </w:r>
          </w:p>
          <w:p w14:paraId="723061D6" w14:textId="77777777" w:rsidR="00E0016F" w:rsidRPr="006D0B14" w:rsidRDefault="00E0016F" w:rsidP="00E0016F">
            <w:pPr>
              <w:tabs>
                <w:tab w:val="left" w:pos="2127"/>
              </w:tabs>
              <w:spacing w:after="0" w:line="240" w:lineRule="auto"/>
              <w:rPr>
                <w:rFonts w:ascii="Arial" w:eastAsia="Times New Roman" w:hAnsi="Arial"/>
                <w:sz w:val="20"/>
                <w:szCs w:val="24"/>
              </w:rPr>
            </w:pPr>
          </w:p>
          <w:p w14:paraId="45264DF8" w14:textId="77777777" w:rsidR="00E0016F" w:rsidRPr="006D0B14" w:rsidRDefault="00E0016F" w:rsidP="00E0016F">
            <w:pPr>
              <w:tabs>
                <w:tab w:val="left" w:pos="2127"/>
              </w:tabs>
              <w:spacing w:after="0" w:line="240" w:lineRule="auto"/>
              <w:rPr>
                <w:rFonts w:ascii="Arial" w:eastAsia="Times New Roman" w:hAnsi="Arial"/>
                <w:sz w:val="20"/>
                <w:szCs w:val="24"/>
                <w:u w:val="single"/>
              </w:rPr>
            </w:pPr>
            <w:r w:rsidRPr="006D0B14">
              <w:rPr>
                <w:rFonts w:ascii="Arial" w:eastAsia="Times New Roman" w:hAnsi="Arial"/>
                <w:sz w:val="20"/>
                <w:szCs w:val="24"/>
                <w:u w:val="single"/>
              </w:rPr>
              <w:t xml:space="preserve">Communal Stair Cleaning </w:t>
            </w:r>
          </w:p>
          <w:p w14:paraId="698A0D6A" w14:textId="77777777" w:rsidR="00E0016F" w:rsidRPr="006D0B14" w:rsidRDefault="00E0016F" w:rsidP="00E0016F">
            <w:pPr>
              <w:tabs>
                <w:tab w:val="left" w:pos="2127"/>
              </w:tabs>
              <w:spacing w:after="0" w:line="240" w:lineRule="auto"/>
              <w:rPr>
                <w:rFonts w:ascii="Arial" w:eastAsia="Times New Roman" w:hAnsi="Arial"/>
                <w:sz w:val="20"/>
                <w:szCs w:val="24"/>
              </w:rPr>
            </w:pPr>
          </w:p>
          <w:p w14:paraId="7031920B" w14:textId="78642BDE" w:rsidR="00E0016F" w:rsidRPr="006D0B14" w:rsidRDefault="0046211E" w:rsidP="00E0016F">
            <w:pPr>
              <w:tabs>
                <w:tab w:val="left" w:pos="2127"/>
              </w:tabs>
              <w:spacing w:after="0" w:line="240" w:lineRule="auto"/>
              <w:rPr>
                <w:rFonts w:ascii="Arial" w:eastAsia="Times New Roman" w:hAnsi="Arial"/>
                <w:b/>
                <w:sz w:val="20"/>
                <w:szCs w:val="24"/>
                <w:u w:val="single"/>
              </w:rPr>
            </w:pPr>
            <w:r w:rsidRPr="006D0B14">
              <w:rPr>
                <w:rFonts w:ascii="Arial" w:eastAsia="Times New Roman" w:hAnsi="Arial"/>
                <w:b/>
                <w:sz w:val="20"/>
                <w:szCs w:val="24"/>
                <w:u w:val="single"/>
              </w:rPr>
              <w:t>Other Housing (Non-HRA Budget)</w:t>
            </w:r>
          </w:p>
          <w:p w14:paraId="35F3D012" w14:textId="334624D1" w:rsidR="0046211E" w:rsidRPr="006D0B14" w:rsidRDefault="0046211E" w:rsidP="00E0016F">
            <w:pPr>
              <w:tabs>
                <w:tab w:val="left" w:pos="2127"/>
              </w:tabs>
              <w:spacing w:after="0" w:line="240" w:lineRule="auto"/>
              <w:rPr>
                <w:rFonts w:ascii="Arial" w:eastAsia="Times New Roman" w:hAnsi="Arial"/>
                <w:sz w:val="20"/>
                <w:szCs w:val="24"/>
                <w:u w:val="single"/>
              </w:rPr>
            </w:pPr>
          </w:p>
          <w:p w14:paraId="24FF3D4B" w14:textId="0ABF2562" w:rsidR="000A7DA5" w:rsidRPr="006D0B14" w:rsidRDefault="000A7DA5" w:rsidP="00E0016F">
            <w:pPr>
              <w:tabs>
                <w:tab w:val="left" w:pos="2127"/>
              </w:tabs>
              <w:spacing w:after="0" w:line="240" w:lineRule="auto"/>
              <w:rPr>
                <w:rFonts w:ascii="Arial" w:eastAsia="Times New Roman" w:hAnsi="Arial"/>
                <w:sz w:val="20"/>
                <w:szCs w:val="24"/>
              </w:rPr>
            </w:pPr>
            <w:r w:rsidRPr="006D0B14">
              <w:rPr>
                <w:rFonts w:ascii="Arial" w:eastAsia="Times New Roman" w:hAnsi="Arial"/>
                <w:sz w:val="20"/>
                <w:szCs w:val="24"/>
              </w:rPr>
              <w:t>Travelling People Site</w:t>
            </w:r>
            <w:r w:rsidR="009C737F">
              <w:rPr>
                <w:rFonts w:ascii="Arial" w:eastAsia="Times New Roman" w:hAnsi="Arial"/>
                <w:sz w:val="20"/>
                <w:szCs w:val="24"/>
              </w:rPr>
              <w:t xml:space="preserve"> </w:t>
            </w:r>
            <w:r w:rsidR="00C16383">
              <w:rPr>
                <w:rFonts w:ascii="Arial" w:eastAsia="Times New Roman" w:hAnsi="Arial"/>
                <w:sz w:val="20"/>
                <w:szCs w:val="24"/>
              </w:rPr>
              <w:t xml:space="preserve">- </w:t>
            </w:r>
            <w:r w:rsidR="009C737F">
              <w:rPr>
                <w:rFonts w:ascii="Arial" w:eastAsia="Times New Roman" w:hAnsi="Arial"/>
                <w:sz w:val="20"/>
                <w:szCs w:val="24"/>
              </w:rPr>
              <w:t>Rent Charge</w:t>
            </w:r>
          </w:p>
          <w:p w14:paraId="0479AB60" w14:textId="77777777" w:rsidR="000A7DA5" w:rsidRPr="006D0B14" w:rsidRDefault="000A7DA5" w:rsidP="00E0016F">
            <w:pPr>
              <w:tabs>
                <w:tab w:val="left" w:pos="2127"/>
              </w:tabs>
              <w:spacing w:after="0" w:line="240" w:lineRule="auto"/>
              <w:rPr>
                <w:rFonts w:ascii="Arial" w:eastAsia="Times New Roman" w:hAnsi="Arial"/>
                <w:sz w:val="20"/>
                <w:szCs w:val="24"/>
                <w:u w:val="single"/>
              </w:rPr>
            </w:pPr>
          </w:p>
          <w:p w14:paraId="2FAE08E6" w14:textId="65821615" w:rsidR="0046211E" w:rsidRPr="006D0B14" w:rsidRDefault="0046211E" w:rsidP="0046211E">
            <w:pPr>
              <w:tabs>
                <w:tab w:val="left" w:pos="2127"/>
              </w:tabs>
              <w:rPr>
                <w:rFonts w:ascii="Arial" w:eastAsia="Times New Roman" w:hAnsi="Arial"/>
                <w:b/>
                <w:sz w:val="20"/>
                <w:szCs w:val="24"/>
              </w:rPr>
            </w:pPr>
            <w:r w:rsidRPr="006D0B14">
              <w:rPr>
                <w:rFonts w:ascii="Arial" w:eastAsia="Times New Roman" w:hAnsi="Arial"/>
                <w:b/>
                <w:sz w:val="20"/>
                <w:szCs w:val="24"/>
              </w:rPr>
              <w:t>Temporary Accommodation Properties</w:t>
            </w:r>
          </w:p>
          <w:p w14:paraId="7AFB6F81" w14:textId="7CD5BB40" w:rsidR="0046211E" w:rsidRPr="006D0B14" w:rsidRDefault="0046211E" w:rsidP="0046211E">
            <w:pPr>
              <w:tabs>
                <w:tab w:val="left" w:pos="2127"/>
              </w:tabs>
              <w:spacing w:after="0" w:line="240" w:lineRule="auto"/>
              <w:rPr>
                <w:rFonts w:ascii="Arial" w:eastAsia="Times New Roman" w:hAnsi="Arial"/>
                <w:sz w:val="20"/>
                <w:szCs w:val="24"/>
              </w:rPr>
            </w:pPr>
            <w:r w:rsidRPr="006D0B14">
              <w:rPr>
                <w:rFonts w:ascii="Arial" w:eastAsia="Times New Roman" w:hAnsi="Arial"/>
                <w:sz w:val="20"/>
                <w:szCs w:val="24"/>
              </w:rPr>
              <w:t>Lily Walker Centre</w:t>
            </w:r>
          </w:p>
          <w:p w14:paraId="1AF1A885" w14:textId="371E2686" w:rsidR="0046211E" w:rsidRPr="006D0B14" w:rsidRDefault="0046211E" w:rsidP="0046211E">
            <w:pPr>
              <w:tabs>
                <w:tab w:val="left" w:pos="2127"/>
              </w:tabs>
              <w:spacing w:after="0" w:line="240" w:lineRule="auto"/>
              <w:rPr>
                <w:rFonts w:ascii="Arial" w:eastAsia="Times New Roman" w:hAnsi="Arial"/>
                <w:sz w:val="20"/>
                <w:szCs w:val="24"/>
              </w:rPr>
            </w:pPr>
            <w:r w:rsidRPr="006D0B14">
              <w:rPr>
                <w:rFonts w:ascii="Arial" w:eastAsia="Times New Roman" w:hAnsi="Arial"/>
                <w:sz w:val="20"/>
                <w:szCs w:val="24"/>
              </w:rPr>
              <w:t>Supported Complex – Honeygreen Road</w:t>
            </w:r>
            <w:r w:rsidR="00BD4DAA" w:rsidRPr="006D0B14">
              <w:rPr>
                <w:rFonts w:ascii="Arial" w:eastAsia="Times New Roman" w:hAnsi="Arial"/>
                <w:sz w:val="20"/>
                <w:szCs w:val="20"/>
                <w:vertAlign w:val="superscript"/>
              </w:rPr>
              <w:t>(3)</w:t>
            </w:r>
            <w:r w:rsidR="002274BB" w:rsidRPr="006D0B14">
              <w:rPr>
                <w:rFonts w:ascii="Arial" w:eastAsia="Times New Roman" w:hAnsi="Arial"/>
                <w:sz w:val="20"/>
                <w:szCs w:val="24"/>
              </w:rPr>
              <w:t xml:space="preserve"> </w:t>
            </w:r>
          </w:p>
          <w:p w14:paraId="360BD0F4" w14:textId="65728816" w:rsidR="00E0016F" w:rsidRPr="006D0B14" w:rsidRDefault="00E0016F" w:rsidP="0046211E">
            <w:pPr>
              <w:tabs>
                <w:tab w:val="left" w:pos="2127"/>
              </w:tabs>
              <w:spacing w:after="0" w:line="240" w:lineRule="auto"/>
              <w:rPr>
                <w:rFonts w:ascii="Arial" w:eastAsia="Times New Roman" w:hAnsi="Arial"/>
                <w:sz w:val="20"/>
                <w:szCs w:val="24"/>
              </w:rPr>
            </w:pPr>
          </w:p>
          <w:p w14:paraId="7E5BEBDD" w14:textId="20FADABD" w:rsidR="00E0016F" w:rsidRPr="006D0B14" w:rsidRDefault="00DB4EBA" w:rsidP="00E0016F">
            <w:pPr>
              <w:tabs>
                <w:tab w:val="left" w:pos="2127"/>
              </w:tabs>
              <w:spacing w:after="0" w:line="240" w:lineRule="auto"/>
              <w:rPr>
                <w:rFonts w:ascii="Arial" w:eastAsia="Times New Roman" w:hAnsi="Arial"/>
                <w:sz w:val="20"/>
                <w:szCs w:val="24"/>
                <w:u w:val="single"/>
              </w:rPr>
            </w:pPr>
            <w:r w:rsidRPr="006D0B14">
              <w:rPr>
                <w:rFonts w:ascii="Arial" w:eastAsia="Times New Roman" w:hAnsi="Arial"/>
                <w:sz w:val="20"/>
                <w:szCs w:val="24"/>
                <w:u w:val="single"/>
              </w:rPr>
              <w:t>Network Flats</w:t>
            </w:r>
            <w:r w:rsidR="00BD4DAA" w:rsidRPr="006D0B14">
              <w:rPr>
                <w:rFonts w:ascii="Arial" w:eastAsia="Times New Roman" w:hAnsi="Arial"/>
                <w:sz w:val="20"/>
                <w:szCs w:val="20"/>
                <w:vertAlign w:val="superscript"/>
              </w:rPr>
              <w:t>(3)</w:t>
            </w:r>
            <w:r w:rsidR="00BD4DAA" w:rsidRPr="006D0B14">
              <w:rPr>
                <w:rFonts w:ascii="Arial" w:eastAsia="Times New Roman" w:hAnsi="Arial"/>
                <w:sz w:val="20"/>
                <w:szCs w:val="24"/>
              </w:rPr>
              <w:t xml:space="preserve"> </w:t>
            </w:r>
          </w:p>
          <w:p w14:paraId="35FE6A70" w14:textId="63F1DBE9" w:rsidR="0046211E" w:rsidRPr="006D0B14" w:rsidRDefault="00DB4EBA" w:rsidP="0046211E">
            <w:pPr>
              <w:tabs>
                <w:tab w:val="left" w:pos="2127"/>
              </w:tabs>
              <w:spacing w:after="0" w:line="240" w:lineRule="auto"/>
              <w:rPr>
                <w:rFonts w:ascii="Arial" w:eastAsia="Times New Roman" w:hAnsi="Arial"/>
                <w:sz w:val="20"/>
                <w:szCs w:val="24"/>
              </w:rPr>
            </w:pPr>
            <w:r w:rsidRPr="006D0B14">
              <w:rPr>
                <w:rFonts w:ascii="Arial" w:eastAsia="Times New Roman" w:hAnsi="Arial"/>
                <w:sz w:val="20"/>
                <w:szCs w:val="24"/>
              </w:rPr>
              <w:t>1 Apartment</w:t>
            </w:r>
          </w:p>
          <w:p w14:paraId="7C461709" w14:textId="328977C0" w:rsidR="0046211E" w:rsidRPr="006D0B14" w:rsidRDefault="00DB4EBA" w:rsidP="0046211E">
            <w:pPr>
              <w:tabs>
                <w:tab w:val="left" w:pos="2127"/>
              </w:tabs>
              <w:spacing w:after="0" w:line="240" w:lineRule="auto"/>
              <w:rPr>
                <w:rFonts w:ascii="Arial" w:eastAsia="Times New Roman" w:hAnsi="Arial"/>
                <w:sz w:val="20"/>
                <w:szCs w:val="24"/>
              </w:rPr>
            </w:pPr>
            <w:r w:rsidRPr="006D0B14">
              <w:rPr>
                <w:rFonts w:ascii="Arial" w:eastAsia="Times New Roman" w:hAnsi="Arial"/>
                <w:sz w:val="20"/>
                <w:szCs w:val="24"/>
              </w:rPr>
              <w:t>2 Apartment</w:t>
            </w:r>
          </w:p>
          <w:p w14:paraId="27748B93" w14:textId="6B262D01" w:rsidR="00E0016F" w:rsidRPr="006D0B14" w:rsidRDefault="00DB4EBA" w:rsidP="0046211E">
            <w:pPr>
              <w:tabs>
                <w:tab w:val="left" w:pos="2127"/>
              </w:tabs>
              <w:spacing w:after="0" w:line="240" w:lineRule="auto"/>
              <w:rPr>
                <w:rFonts w:ascii="Arial" w:eastAsia="Times New Roman" w:hAnsi="Arial"/>
                <w:sz w:val="20"/>
                <w:szCs w:val="24"/>
              </w:rPr>
            </w:pPr>
            <w:r w:rsidRPr="006D0B14">
              <w:rPr>
                <w:rFonts w:ascii="Arial" w:eastAsia="Times New Roman" w:hAnsi="Arial"/>
                <w:sz w:val="20"/>
                <w:szCs w:val="24"/>
              </w:rPr>
              <w:t>3 Apartment</w:t>
            </w:r>
          </w:p>
          <w:p w14:paraId="32995FFC" w14:textId="0D659C49" w:rsidR="00DB4EBA" w:rsidRPr="006D0B14" w:rsidRDefault="00DB4EBA" w:rsidP="0046211E">
            <w:pPr>
              <w:tabs>
                <w:tab w:val="left" w:pos="2127"/>
              </w:tabs>
              <w:spacing w:after="0" w:line="240" w:lineRule="auto"/>
              <w:rPr>
                <w:rFonts w:ascii="Arial" w:eastAsia="Times New Roman" w:hAnsi="Arial"/>
                <w:sz w:val="20"/>
                <w:szCs w:val="24"/>
              </w:rPr>
            </w:pPr>
            <w:r w:rsidRPr="006D0B14">
              <w:rPr>
                <w:rFonts w:ascii="Arial" w:eastAsia="Times New Roman" w:hAnsi="Arial"/>
                <w:sz w:val="20"/>
                <w:szCs w:val="24"/>
              </w:rPr>
              <w:t>4 Apartment</w:t>
            </w:r>
          </w:p>
          <w:p w14:paraId="0E295984" w14:textId="4FAB0AEF" w:rsidR="00DB4EBA" w:rsidRPr="006D0B14" w:rsidRDefault="00DB4EBA" w:rsidP="0046211E">
            <w:pPr>
              <w:tabs>
                <w:tab w:val="left" w:pos="2127"/>
              </w:tabs>
              <w:spacing w:after="0" w:line="240" w:lineRule="auto"/>
              <w:rPr>
                <w:rFonts w:ascii="Arial" w:eastAsia="Times New Roman" w:hAnsi="Arial"/>
                <w:sz w:val="20"/>
                <w:szCs w:val="24"/>
              </w:rPr>
            </w:pPr>
            <w:r w:rsidRPr="006D0B14">
              <w:rPr>
                <w:rFonts w:ascii="Arial" w:eastAsia="Times New Roman" w:hAnsi="Arial"/>
                <w:sz w:val="20"/>
                <w:szCs w:val="24"/>
              </w:rPr>
              <w:t>5 Apartment</w:t>
            </w:r>
          </w:p>
          <w:p w14:paraId="3D1B5DD8" w14:textId="77777777" w:rsidR="00E0016F" w:rsidRPr="006D0B14" w:rsidRDefault="00E0016F" w:rsidP="00E0016F">
            <w:pPr>
              <w:tabs>
                <w:tab w:val="left" w:pos="2127"/>
              </w:tabs>
              <w:spacing w:after="0" w:line="240" w:lineRule="auto"/>
              <w:rPr>
                <w:rFonts w:ascii="Arial" w:eastAsia="Times New Roman" w:hAnsi="Arial"/>
                <w:sz w:val="20"/>
                <w:szCs w:val="24"/>
              </w:rPr>
            </w:pPr>
          </w:p>
          <w:p w14:paraId="5DEC0055" w14:textId="77777777" w:rsidR="00E0016F" w:rsidRPr="006D0B14" w:rsidRDefault="00E0016F" w:rsidP="00E0016F">
            <w:pPr>
              <w:tabs>
                <w:tab w:val="left" w:pos="2127"/>
              </w:tabs>
              <w:spacing w:after="0" w:line="240" w:lineRule="auto"/>
              <w:rPr>
                <w:rFonts w:ascii="Arial" w:eastAsia="Times New Roman" w:hAnsi="Arial"/>
                <w:sz w:val="20"/>
                <w:szCs w:val="24"/>
              </w:rPr>
            </w:pPr>
          </w:p>
          <w:p w14:paraId="41D5A70D" w14:textId="77777777" w:rsidR="00E0016F" w:rsidRPr="006D0B14" w:rsidRDefault="00E0016F" w:rsidP="00E0016F">
            <w:pPr>
              <w:tabs>
                <w:tab w:val="left" w:pos="2127"/>
              </w:tabs>
              <w:spacing w:after="0" w:line="240" w:lineRule="auto"/>
              <w:rPr>
                <w:rFonts w:ascii="Arial" w:eastAsia="Times New Roman" w:hAnsi="Arial"/>
                <w:sz w:val="20"/>
                <w:szCs w:val="24"/>
              </w:rPr>
            </w:pPr>
          </w:p>
        </w:tc>
        <w:tc>
          <w:tcPr>
            <w:tcW w:w="1541" w:type="dxa"/>
            <w:shd w:val="clear" w:color="auto" w:fill="auto"/>
          </w:tcPr>
          <w:p w14:paraId="3C768653" w14:textId="77777777" w:rsidR="00E0016F" w:rsidRPr="006D0B14" w:rsidRDefault="00E0016F" w:rsidP="00E0016F">
            <w:pPr>
              <w:tabs>
                <w:tab w:val="left" w:pos="2127"/>
              </w:tabs>
              <w:spacing w:after="0" w:line="240" w:lineRule="auto"/>
              <w:jc w:val="right"/>
              <w:rPr>
                <w:rFonts w:ascii="Arial" w:eastAsia="Times New Roman" w:hAnsi="Arial"/>
                <w:sz w:val="20"/>
                <w:szCs w:val="24"/>
              </w:rPr>
            </w:pPr>
          </w:p>
          <w:p w14:paraId="2A0BE782" w14:textId="77777777" w:rsidR="00E0016F" w:rsidRPr="006D0B14" w:rsidRDefault="00E0016F" w:rsidP="00E0016F">
            <w:pPr>
              <w:tabs>
                <w:tab w:val="left" w:pos="2127"/>
              </w:tabs>
              <w:spacing w:after="0" w:line="240" w:lineRule="auto"/>
              <w:jc w:val="right"/>
              <w:rPr>
                <w:rFonts w:ascii="Arial" w:eastAsia="Times New Roman" w:hAnsi="Arial"/>
                <w:sz w:val="20"/>
                <w:szCs w:val="24"/>
              </w:rPr>
            </w:pPr>
          </w:p>
          <w:p w14:paraId="25BD3966" w14:textId="77777777" w:rsidR="00E0016F" w:rsidRPr="006D0B14" w:rsidRDefault="00E0016F" w:rsidP="00E0016F">
            <w:pPr>
              <w:tabs>
                <w:tab w:val="left" w:pos="2127"/>
              </w:tabs>
              <w:spacing w:after="0" w:line="240" w:lineRule="auto"/>
              <w:jc w:val="right"/>
              <w:rPr>
                <w:rFonts w:ascii="Arial" w:eastAsia="Times New Roman" w:hAnsi="Arial"/>
                <w:sz w:val="20"/>
                <w:szCs w:val="24"/>
              </w:rPr>
            </w:pPr>
          </w:p>
          <w:p w14:paraId="674FC95B" w14:textId="77777777" w:rsidR="00E0016F" w:rsidRPr="006D0B14" w:rsidRDefault="00E0016F" w:rsidP="00E0016F">
            <w:pPr>
              <w:tabs>
                <w:tab w:val="left" w:pos="2127"/>
              </w:tabs>
              <w:spacing w:after="0" w:line="240" w:lineRule="auto"/>
              <w:jc w:val="right"/>
              <w:rPr>
                <w:rFonts w:ascii="Arial" w:eastAsia="Times New Roman" w:hAnsi="Arial"/>
                <w:sz w:val="20"/>
                <w:szCs w:val="24"/>
              </w:rPr>
            </w:pPr>
          </w:p>
          <w:p w14:paraId="7AEC96F3" w14:textId="77777777" w:rsidR="00E0016F" w:rsidRPr="006D0B14" w:rsidRDefault="00E0016F" w:rsidP="00E0016F">
            <w:pPr>
              <w:tabs>
                <w:tab w:val="left" w:pos="2127"/>
              </w:tabs>
              <w:spacing w:after="0" w:line="240" w:lineRule="auto"/>
              <w:jc w:val="right"/>
              <w:rPr>
                <w:rFonts w:ascii="Arial" w:eastAsia="Times New Roman" w:hAnsi="Arial"/>
                <w:sz w:val="20"/>
                <w:szCs w:val="24"/>
              </w:rPr>
            </w:pPr>
            <w:r w:rsidRPr="006D0B14">
              <w:rPr>
                <w:rFonts w:ascii="Arial" w:eastAsia="Times New Roman" w:hAnsi="Arial"/>
                <w:sz w:val="20"/>
                <w:szCs w:val="24"/>
              </w:rPr>
              <w:t>1.90</w:t>
            </w:r>
          </w:p>
          <w:p w14:paraId="6167E1E2" w14:textId="77777777" w:rsidR="00E0016F" w:rsidRPr="006D0B14" w:rsidRDefault="00E0016F" w:rsidP="00E0016F">
            <w:pPr>
              <w:tabs>
                <w:tab w:val="left" w:pos="2127"/>
              </w:tabs>
              <w:spacing w:after="0" w:line="240" w:lineRule="auto"/>
              <w:jc w:val="right"/>
              <w:rPr>
                <w:rFonts w:ascii="Arial" w:eastAsia="Times New Roman" w:hAnsi="Arial"/>
                <w:sz w:val="20"/>
                <w:szCs w:val="24"/>
              </w:rPr>
            </w:pPr>
            <w:r w:rsidRPr="006D0B14">
              <w:rPr>
                <w:rFonts w:ascii="Arial" w:eastAsia="Times New Roman" w:hAnsi="Arial"/>
                <w:sz w:val="20"/>
                <w:szCs w:val="24"/>
              </w:rPr>
              <w:t>1.10</w:t>
            </w:r>
          </w:p>
          <w:p w14:paraId="695193CF" w14:textId="77777777" w:rsidR="00E0016F" w:rsidRPr="006D0B14" w:rsidRDefault="00E0016F" w:rsidP="00E0016F">
            <w:pPr>
              <w:tabs>
                <w:tab w:val="left" w:pos="2127"/>
              </w:tabs>
              <w:spacing w:after="0" w:line="240" w:lineRule="auto"/>
              <w:jc w:val="right"/>
              <w:rPr>
                <w:rFonts w:ascii="Arial" w:eastAsia="Times New Roman" w:hAnsi="Arial"/>
                <w:sz w:val="20"/>
                <w:szCs w:val="24"/>
              </w:rPr>
            </w:pPr>
            <w:r w:rsidRPr="006D0B14">
              <w:rPr>
                <w:rFonts w:ascii="Arial" w:eastAsia="Times New Roman" w:hAnsi="Arial"/>
                <w:sz w:val="20"/>
                <w:szCs w:val="24"/>
              </w:rPr>
              <w:t>1.10</w:t>
            </w:r>
          </w:p>
          <w:p w14:paraId="79A05DF0" w14:textId="77777777" w:rsidR="00E0016F" w:rsidRPr="006D0B14" w:rsidRDefault="00E0016F" w:rsidP="00E0016F">
            <w:pPr>
              <w:tabs>
                <w:tab w:val="left" w:pos="2127"/>
              </w:tabs>
              <w:spacing w:after="0" w:line="240" w:lineRule="auto"/>
              <w:jc w:val="right"/>
              <w:rPr>
                <w:rFonts w:ascii="Arial" w:eastAsia="Times New Roman" w:hAnsi="Arial"/>
                <w:sz w:val="20"/>
                <w:szCs w:val="24"/>
              </w:rPr>
            </w:pPr>
          </w:p>
          <w:p w14:paraId="1840B60D" w14:textId="63FBE7E7" w:rsidR="00E0016F" w:rsidRPr="006D0B14" w:rsidRDefault="00E0016F" w:rsidP="00E0016F">
            <w:pPr>
              <w:tabs>
                <w:tab w:val="left" w:pos="2127"/>
              </w:tabs>
              <w:spacing w:after="0" w:line="240" w:lineRule="auto"/>
              <w:jc w:val="right"/>
              <w:rPr>
                <w:rFonts w:ascii="Arial" w:eastAsia="Times New Roman" w:hAnsi="Arial"/>
                <w:sz w:val="20"/>
                <w:szCs w:val="24"/>
              </w:rPr>
            </w:pPr>
            <w:r w:rsidRPr="006D0B14">
              <w:rPr>
                <w:rFonts w:ascii="Arial" w:eastAsia="Times New Roman" w:hAnsi="Arial"/>
                <w:sz w:val="20"/>
                <w:szCs w:val="24"/>
              </w:rPr>
              <w:t>1.</w:t>
            </w:r>
            <w:r w:rsidR="00DE0490" w:rsidRPr="006D0B14">
              <w:rPr>
                <w:rFonts w:ascii="Arial" w:eastAsia="Times New Roman" w:hAnsi="Arial"/>
                <w:sz w:val="20"/>
                <w:szCs w:val="24"/>
              </w:rPr>
              <w:t>79</w:t>
            </w:r>
          </w:p>
          <w:p w14:paraId="51FC8094" w14:textId="77777777" w:rsidR="00465C0B" w:rsidRPr="006D0B14" w:rsidRDefault="00465C0B" w:rsidP="00465C0B">
            <w:pPr>
              <w:tabs>
                <w:tab w:val="left" w:pos="2127"/>
              </w:tabs>
              <w:spacing w:after="0" w:line="240" w:lineRule="auto"/>
              <w:jc w:val="center"/>
              <w:rPr>
                <w:rFonts w:ascii="Arial" w:eastAsia="Times New Roman" w:hAnsi="Arial"/>
                <w:sz w:val="20"/>
                <w:szCs w:val="24"/>
              </w:rPr>
            </w:pPr>
          </w:p>
          <w:p w14:paraId="0594DFED" w14:textId="77777777" w:rsidR="00E0016F" w:rsidRPr="006D0B14" w:rsidRDefault="00E0016F" w:rsidP="00E0016F">
            <w:pPr>
              <w:tabs>
                <w:tab w:val="left" w:pos="2127"/>
              </w:tabs>
              <w:spacing w:after="0" w:line="240" w:lineRule="auto"/>
              <w:jc w:val="right"/>
              <w:rPr>
                <w:rFonts w:ascii="Arial" w:eastAsia="Times New Roman" w:hAnsi="Arial"/>
                <w:sz w:val="20"/>
                <w:szCs w:val="24"/>
              </w:rPr>
            </w:pPr>
          </w:p>
          <w:p w14:paraId="3B5F3A59" w14:textId="77777777" w:rsidR="00E0016F" w:rsidRPr="006D0B14" w:rsidRDefault="00E0016F" w:rsidP="00E0016F">
            <w:pPr>
              <w:tabs>
                <w:tab w:val="left" w:pos="2127"/>
              </w:tabs>
              <w:spacing w:after="0" w:line="240" w:lineRule="auto"/>
              <w:jc w:val="right"/>
              <w:rPr>
                <w:rFonts w:ascii="Arial" w:eastAsia="Times New Roman" w:hAnsi="Arial"/>
                <w:sz w:val="20"/>
                <w:szCs w:val="24"/>
              </w:rPr>
            </w:pPr>
          </w:p>
          <w:p w14:paraId="4F4E4B76" w14:textId="4802CE79" w:rsidR="00E0016F" w:rsidRPr="006D0B14" w:rsidRDefault="002274BB" w:rsidP="00E0016F">
            <w:pPr>
              <w:tabs>
                <w:tab w:val="left" w:pos="2127"/>
              </w:tabs>
              <w:spacing w:after="0" w:line="240" w:lineRule="auto"/>
              <w:jc w:val="right"/>
              <w:rPr>
                <w:rFonts w:ascii="Arial" w:eastAsia="Times New Roman" w:hAnsi="Arial"/>
                <w:sz w:val="20"/>
                <w:szCs w:val="24"/>
              </w:rPr>
            </w:pPr>
            <w:r w:rsidRPr="006D0B14">
              <w:rPr>
                <w:rFonts w:ascii="Arial" w:eastAsia="Times New Roman" w:hAnsi="Arial"/>
                <w:sz w:val="20"/>
                <w:szCs w:val="24"/>
              </w:rPr>
              <w:t>6</w:t>
            </w:r>
            <w:r w:rsidR="000115D0">
              <w:rPr>
                <w:rFonts w:ascii="Arial" w:eastAsia="Times New Roman" w:hAnsi="Arial"/>
                <w:sz w:val="20"/>
                <w:szCs w:val="24"/>
              </w:rPr>
              <w:t>8</w:t>
            </w:r>
            <w:r w:rsidRPr="006D0B14">
              <w:rPr>
                <w:rFonts w:ascii="Arial" w:eastAsia="Times New Roman" w:hAnsi="Arial"/>
                <w:sz w:val="20"/>
                <w:szCs w:val="24"/>
              </w:rPr>
              <w:t>.8</w:t>
            </w:r>
            <w:r w:rsidR="000115D0">
              <w:rPr>
                <w:rFonts w:ascii="Arial" w:eastAsia="Times New Roman" w:hAnsi="Arial"/>
                <w:sz w:val="20"/>
                <w:szCs w:val="24"/>
              </w:rPr>
              <w:t>7</w:t>
            </w:r>
          </w:p>
          <w:p w14:paraId="09B1D3A0" w14:textId="77777777" w:rsidR="00E0016F" w:rsidRPr="006D0B14" w:rsidRDefault="00E0016F" w:rsidP="00E0016F">
            <w:pPr>
              <w:tabs>
                <w:tab w:val="left" w:pos="2127"/>
              </w:tabs>
              <w:spacing w:after="0" w:line="240" w:lineRule="auto"/>
              <w:jc w:val="right"/>
              <w:rPr>
                <w:rFonts w:ascii="Arial" w:eastAsia="Times New Roman" w:hAnsi="Arial"/>
                <w:sz w:val="20"/>
                <w:szCs w:val="24"/>
              </w:rPr>
            </w:pPr>
          </w:p>
          <w:p w14:paraId="061047DE" w14:textId="77777777" w:rsidR="00E0016F" w:rsidRPr="006D0B14" w:rsidRDefault="00E0016F" w:rsidP="00E0016F">
            <w:pPr>
              <w:tabs>
                <w:tab w:val="left" w:pos="2127"/>
              </w:tabs>
              <w:spacing w:after="0" w:line="240" w:lineRule="auto"/>
              <w:jc w:val="right"/>
              <w:rPr>
                <w:rFonts w:ascii="Arial" w:eastAsia="Times New Roman" w:hAnsi="Arial"/>
                <w:sz w:val="20"/>
                <w:szCs w:val="24"/>
              </w:rPr>
            </w:pPr>
          </w:p>
          <w:p w14:paraId="3D0541E7" w14:textId="77777777" w:rsidR="00BD4DAA" w:rsidRPr="006D0B14" w:rsidRDefault="00BD4DAA" w:rsidP="0046211E">
            <w:pPr>
              <w:tabs>
                <w:tab w:val="left" w:pos="2127"/>
              </w:tabs>
              <w:spacing w:after="0" w:line="240" w:lineRule="auto"/>
              <w:jc w:val="right"/>
              <w:rPr>
                <w:rFonts w:ascii="Arial" w:eastAsia="Times New Roman" w:hAnsi="Arial"/>
                <w:sz w:val="20"/>
                <w:szCs w:val="24"/>
              </w:rPr>
            </w:pPr>
          </w:p>
          <w:p w14:paraId="5D27DC5D" w14:textId="1AB8C25E" w:rsidR="0046211E" w:rsidRPr="006D0B14" w:rsidRDefault="0046211E" w:rsidP="0046211E">
            <w:pPr>
              <w:tabs>
                <w:tab w:val="left" w:pos="2127"/>
              </w:tabs>
              <w:spacing w:after="0" w:line="240" w:lineRule="auto"/>
              <w:jc w:val="right"/>
              <w:rPr>
                <w:rFonts w:ascii="Arial" w:eastAsia="Times New Roman" w:hAnsi="Arial"/>
                <w:sz w:val="20"/>
                <w:szCs w:val="24"/>
              </w:rPr>
            </w:pPr>
            <w:r w:rsidRPr="006D0B14">
              <w:rPr>
                <w:rFonts w:ascii="Arial" w:eastAsia="Times New Roman" w:hAnsi="Arial"/>
                <w:sz w:val="20"/>
                <w:szCs w:val="24"/>
              </w:rPr>
              <w:t>1</w:t>
            </w:r>
            <w:r w:rsidR="00DB4EBA" w:rsidRPr="006D0B14">
              <w:rPr>
                <w:rFonts w:ascii="Arial" w:eastAsia="Times New Roman" w:hAnsi="Arial"/>
                <w:sz w:val="20"/>
                <w:szCs w:val="24"/>
              </w:rPr>
              <w:t>87.90</w:t>
            </w:r>
          </w:p>
          <w:p w14:paraId="5D3DC522" w14:textId="6FCF4445" w:rsidR="0046211E" w:rsidRPr="006D0B14" w:rsidRDefault="00DB4EBA" w:rsidP="0046211E">
            <w:pPr>
              <w:tabs>
                <w:tab w:val="left" w:pos="2127"/>
              </w:tabs>
              <w:spacing w:after="0" w:line="240" w:lineRule="auto"/>
              <w:jc w:val="right"/>
              <w:rPr>
                <w:rFonts w:ascii="Arial" w:eastAsia="Times New Roman" w:hAnsi="Arial"/>
                <w:sz w:val="20"/>
                <w:szCs w:val="24"/>
              </w:rPr>
            </w:pPr>
            <w:r w:rsidRPr="006D0B14">
              <w:rPr>
                <w:rFonts w:ascii="Arial" w:eastAsia="Times New Roman" w:hAnsi="Arial"/>
                <w:sz w:val="20"/>
                <w:szCs w:val="24"/>
              </w:rPr>
              <w:t>217.90</w:t>
            </w:r>
          </w:p>
          <w:p w14:paraId="7D7AF5E9" w14:textId="7138ECBE" w:rsidR="00DB4EBA" w:rsidRPr="006D0B14" w:rsidRDefault="00DB4EBA" w:rsidP="0046211E">
            <w:pPr>
              <w:tabs>
                <w:tab w:val="left" w:pos="2127"/>
              </w:tabs>
              <w:spacing w:after="0" w:line="240" w:lineRule="auto"/>
              <w:jc w:val="right"/>
              <w:rPr>
                <w:rFonts w:ascii="Arial" w:eastAsia="Times New Roman" w:hAnsi="Arial"/>
                <w:sz w:val="20"/>
                <w:szCs w:val="24"/>
              </w:rPr>
            </w:pPr>
          </w:p>
          <w:p w14:paraId="2FDF3407" w14:textId="20DBC5E3" w:rsidR="00DB4EBA" w:rsidRPr="006D0B14" w:rsidRDefault="00DB4EBA" w:rsidP="0046211E">
            <w:pPr>
              <w:tabs>
                <w:tab w:val="left" w:pos="2127"/>
              </w:tabs>
              <w:spacing w:after="0" w:line="240" w:lineRule="auto"/>
              <w:jc w:val="right"/>
              <w:rPr>
                <w:rFonts w:ascii="Arial" w:eastAsia="Times New Roman" w:hAnsi="Arial"/>
                <w:sz w:val="20"/>
                <w:szCs w:val="24"/>
              </w:rPr>
            </w:pPr>
          </w:p>
          <w:p w14:paraId="2A436B09" w14:textId="59C6628D" w:rsidR="00DB4EBA" w:rsidRPr="006D0B14" w:rsidRDefault="00DB4EBA" w:rsidP="0046211E">
            <w:pPr>
              <w:tabs>
                <w:tab w:val="left" w:pos="2127"/>
              </w:tabs>
              <w:spacing w:after="0" w:line="240" w:lineRule="auto"/>
              <w:jc w:val="right"/>
              <w:rPr>
                <w:rFonts w:ascii="Arial" w:eastAsia="Times New Roman" w:hAnsi="Arial"/>
                <w:sz w:val="20"/>
                <w:szCs w:val="24"/>
              </w:rPr>
            </w:pPr>
            <w:r w:rsidRPr="006D0B14">
              <w:rPr>
                <w:rFonts w:ascii="Arial" w:eastAsia="Times New Roman" w:hAnsi="Arial"/>
                <w:sz w:val="20"/>
                <w:szCs w:val="24"/>
              </w:rPr>
              <w:t>82.45</w:t>
            </w:r>
          </w:p>
          <w:p w14:paraId="25C09207" w14:textId="0310B4E5" w:rsidR="0046211E" w:rsidRPr="006D0B14" w:rsidRDefault="00DB4EBA" w:rsidP="0046211E">
            <w:pPr>
              <w:tabs>
                <w:tab w:val="left" w:pos="2127"/>
              </w:tabs>
              <w:spacing w:after="0" w:line="240" w:lineRule="auto"/>
              <w:jc w:val="right"/>
              <w:rPr>
                <w:rFonts w:ascii="Arial" w:eastAsia="Times New Roman" w:hAnsi="Arial"/>
                <w:sz w:val="20"/>
                <w:szCs w:val="24"/>
              </w:rPr>
            </w:pPr>
            <w:r w:rsidRPr="006D0B14">
              <w:rPr>
                <w:rFonts w:ascii="Arial" w:eastAsia="Times New Roman" w:hAnsi="Arial"/>
                <w:sz w:val="20"/>
                <w:szCs w:val="24"/>
              </w:rPr>
              <w:t>207.05</w:t>
            </w:r>
          </w:p>
          <w:p w14:paraId="1CA0B127" w14:textId="77777777" w:rsidR="0046211E" w:rsidRPr="006D0B14" w:rsidRDefault="00DB4EBA" w:rsidP="00DB4EBA">
            <w:pPr>
              <w:tabs>
                <w:tab w:val="left" w:pos="2127"/>
              </w:tabs>
              <w:spacing w:after="0" w:line="240" w:lineRule="auto"/>
              <w:jc w:val="right"/>
              <w:rPr>
                <w:rFonts w:ascii="Arial" w:eastAsia="Times New Roman" w:hAnsi="Arial"/>
                <w:sz w:val="20"/>
                <w:szCs w:val="24"/>
              </w:rPr>
            </w:pPr>
            <w:r w:rsidRPr="006D0B14">
              <w:rPr>
                <w:rFonts w:ascii="Arial" w:eastAsia="Times New Roman" w:hAnsi="Arial"/>
                <w:sz w:val="20"/>
                <w:szCs w:val="24"/>
              </w:rPr>
              <w:t>308.20</w:t>
            </w:r>
          </w:p>
          <w:p w14:paraId="31C4E939" w14:textId="77777777" w:rsidR="00DB4EBA" w:rsidRPr="006D0B14" w:rsidRDefault="00DB4EBA" w:rsidP="00DB4EBA">
            <w:pPr>
              <w:tabs>
                <w:tab w:val="left" w:pos="2127"/>
              </w:tabs>
              <w:spacing w:after="0" w:line="240" w:lineRule="auto"/>
              <w:jc w:val="right"/>
              <w:rPr>
                <w:rFonts w:ascii="Arial" w:eastAsia="Times New Roman" w:hAnsi="Arial"/>
                <w:sz w:val="20"/>
                <w:szCs w:val="24"/>
              </w:rPr>
            </w:pPr>
            <w:r w:rsidRPr="006D0B14">
              <w:rPr>
                <w:rFonts w:ascii="Arial" w:eastAsia="Times New Roman" w:hAnsi="Arial"/>
                <w:sz w:val="20"/>
                <w:szCs w:val="24"/>
              </w:rPr>
              <w:t>417.85</w:t>
            </w:r>
          </w:p>
          <w:p w14:paraId="39A1BF9A" w14:textId="482A81BF" w:rsidR="00DB4EBA" w:rsidRPr="006D0B14" w:rsidRDefault="00DB4EBA" w:rsidP="00DB4EBA">
            <w:pPr>
              <w:tabs>
                <w:tab w:val="left" w:pos="2127"/>
              </w:tabs>
              <w:spacing w:after="0" w:line="240" w:lineRule="auto"/>
              <w:jc w:val="right"/>
              <w:rPr>
                <w:rFonts w:ascii="Arial" w:eastAsia="Times New Roman" w:hAnsi="Arial"/>
                <w:sz w:val="20"/>
                <w:szCs w:val="24"/>
              </w:rPr>
            </w:pPr>
            <w:r w:rsidRPr="006D0B14">
              <w:rPr>
                <w:rFonts w:ascii="Arial" w:eastAsia="Times New Roman" w:hAnsi="Arial"/>
                <w:sz w:val="20"/>
                <w:szCs w:val="24"/>
              </w:rPr>
              <w:t>526.00</w:t>
            </w:r>
          </w:p>
        </w:tc>
        <w:tc>
          <w:tcPr>
            <w:tcW w:w="1473" w:type="dxa"/>
            <w:shd w:val="clear" w:color="auto" w:fill="auto"/>
          </w:tcPr>
          <w:p w14:paraId="0D405A61" w14:textId="77777777" w:rsidR="00E0016F" w:rsidRPr="006D0B14" w:rsidRDefault="00E0016F" w:rsidP="00E0016F">
            <w:pPr>
              <w:tabs>
                <w:tab w:val="left" w:pos="2127"/>
              </w:tabs>
              <w:spacing w:after="0" w:line="240" w:lineRule="auto"/>
              <w:jc w:val="right"/>
              <w:rPr>
                <w:rFonts w:ascii="Arial" w:eastAsia="Times New Roman" w:hAnsi="Arial"/>
                <w:sz w:val="20"/>
                <w:szCs w:val="24"/>
              </w:rPr>
            </w:pPr>
          </w:p>
          <w:p w14:paraId="78D7F022" w14:textId="77777777" w:rsidR="00E0016F" w:rsidRPr="006D0B14" w:rsidRDefault="00E0016F" w:rsidP="00E0016F">
            <w:pPr>
              <w:tabs>
                <w:tab w:val="left" w:pos="2127"/>
              </w:tabs>
              <w:spacing w:after="0" w:line="240" w:lineRule="auto"/>
              <w:jc w:val="right"/>
              <w:rPr>
                <w:rFonts w:ascii="Arial" w:eastAsia="Times New Roman" w:hAnsi="Arial"/>
                <w:sz w:val="20"/>
                <w:szCs w:val="24"/>
              </w:rPr>
            </w:pPr>
          </w:p>
          <w:p w14:paraId="0F2451B3" w14:textId="77777777" w:rsidR="00E0016F" w:rsidRPr="006D0B14" w:rsidRDefault="00E0016F" w:rsidP="00E0016F">
            <w:pPr>
              <w:tabs>
                <w:tab w:val="left" w:pos="2127"/>
              </w:tabs>
              <w:spacing w:after="0" w:line="240" w:lineRule="auto"/>
              <w:jc w:val="right"/>
              <w:rPr>
                <w:rFonts w:ascii="Arial" w:eastAsia="Times New Roman" w:hAnsi="Arial"/>
                <w:sz w:val="20"/>
                <w:szCs w:val="24"/>
              </w:rPr>
            </w:pPr>
          </w:p>
          <w:p w14:paraId="7F5EF18D" w14:textId="77777777" w:rsidR="00E0016F" w:rsidRPr="006D0B14" w:rsidRDefault="00E0016F" w:rsidP="00E0016F">
            <w:pPr>
              <w:tabs>
                <w:tab w:val="left" w:pos="2127"/>
              </w:tabs>
              <w:spacing w:after="0" w:line="240" w:lineRule="auto"/>
              <w:jc w:val="right"/>
              <w:rPr>
                <w:rFonts w:ascii="Arial" w:eastAsia="Times New Roman" w:hAnsi="Arial"/>
                <w:sz w:val="20"/>
                <w:szCs w:val="24"/>
              </w:rPr>
            </w:pPr>
          </w:p>
          <w:p w14:paraId="7865B0E5" w14:textId="77777777" w:rsidR="00E0016F" w:rsidRPr="006D0B14" w:rsidRDefault="00E0016F" w:rsidP="00E0016F">
            <w:pPr>
              <w:tabs>
                <w:tab w:val="left" w:pos="2127"/>
              </w:tabs>
              <w:spacing w:after="0" w:line="240" w:lineRule="auto"/>
              <w:jc w:val="right"/>
              <w:rPr>
                <w:rFonts w:ascii="Arial" w:eastAsia="Times New Roman" w:hAnsi="Arial"/>
                <w:sz w:val="20"/>
                <w:szCs w:val="24"/>
              </w:rPr>
            </w:pPr>
            <w:r w:rsidRPr="006D0B14">
              <w:rPr>
                <w:rFonts w:ascii="Arial" w:eastAsia="Times New Roman" w:hAnsi="Arial"/>
                <w:sz w:val="20"/>
                <w:szCs w:val="24"/>
              </w:rPr>
              <w:t>1.90</w:t>
            </w:r>
          </w:p>
          <w:p w14:paraId="70403900" w14:textId="77777777" w:rsidR="00E0016F" w:rsidRPr="006D0B14" w:rsidRDefault="00E0016F" w:rsidP="00E0016F">
            <w:pPr>
              <w:tabs>
                <w:tab w:val="left" w:pos="2127"/>
              </w:tabs>
              <w:spacing w:after="0" w:line="240" w:lineRule="auto"/>
              <w:jc w:val="right"/>
              <w:rPr>
                <w:rFonts w:ascii="Arial" w:eastAsia="Times New Roman" w:hAnsi="Arial"/>
                <w:sz w:val="20"/>
                <w:szCs w:val="24"/>
              </w:rPr>
            </w:pPr>
            <w:r w:rsidRPr="006D0B14">
              <w:rPr>
                <w:rFonts w:ascii="Arial" w:eastAsia="Times New Roman" w:hAnsi="Arial"/>
                <w:sz w:val="20"/>
                <w:szCs w:val="24"/>
              </w:rPr>
              <w:t>1.10</w:t>
            </w:r>
          </w:p>
          <w:p w14:paraId="6AD79FEC" w14:textId="77777777" w:rsidR="00E0016F" w:rsidRPr="006D0B14" w:rsidRDefault="00E0016F" w:rsidP="00E0016F">
            <w:pPr>
              <w:tabs>
                <w:tab w:val="left" w:pos="2127"/>
              </w:tabs>
              <w:spacing w:after="0" w:line="240" w:lineRule="auto"/>
              <w:jc w:val="right"/>
              <w:rPr>
                <w:rFonts w:ascii="Arial" w:eastAsia="Times New Roman" w:hAnsi="Arial"/>
                <w:sz w:val="20"/>
                <w:szCs w:val="24"/>
              </w:rPr>
            </w:pPr>
            <w:r w:rsidRPr="006D0B14">
              <w:rPr>
                <w:rFonts w:ascii="Arial" w:eastAsia="Times New Roman" w:hAnsi="Arial"/>
                <w:sz w:val="20"/>
                <w:szCs w:val="24"/>
              </w:rPr>
              <w:t>1.10</w:t>
            </w:r>
          </w:p>
          <w:p w14:paraId="6D1F025D" w14:textId="77777777" w:rsidR="00E0016F" w:rsidRPr="006D0B14" w:rsidRDefault="00E0016F" w:rsidP="00E0016F">
            <w:pPr>
              <w:tabs>
                <w:tab w:val="left" w:pos="2127"/>
              </w:tabs>
              <w:spacing w:after="0" w:line="240" w:lineRule="auto"/>
              <w:jc w:val="right"/>
              <w:rPr>
                <w:rFonts w:ascii="Arial" w:eastAsia="Times New Roman" w:hAnsi="Arial"/>
                <w:sz w:val="20"/>
                <w:szCs w:val="24"/>
              </w:rPr>
            </w:pPr>
          </w:p>
          <w:p w14:paraId="59AA9DB3" w14:textId="77777777" w:rsidR="00E0016F" w:rsidRPr="006D0B14" w:rsidRDefault="00E0016F" w:rsidP="00E0016F">
            <w:pPr>
              <w:tabs>
                <w:tab w:val="left" w:pos="2127"/>
              </w:tabs>
              <w:spacing w:after="0" w:line="240" w:lineRule="auto"/>
              <w:jc w:val="right"/>
              <w:rPr>
                <w:rFonts w:ascii="Arial" w:eastAsia="Times New Roman" w:hAnsi="Arial"/>
                <w:sz w:val="20"/>
                <w:szCs w:val="24"/>
              </w:rPr>
            </w:pPr>
            <w:r w:rsidRPr="006D0B14">
              <w:rPr>
                <w:rFonts w:ascii="Arial" w:eastAsia="Times New Roman" w:hAnsi="Arial"/>
                <w:sz w:val="20"/>
                <w:szCs w:val="24"/>
              </w:rPr>
              <w:t>1.</w:t>
            </w:r>
            <w:r w:rsidR="00DE0490" w:rsidRPr="006D0B14">
              <w:rPr>
                <w:rFonts w:ascii="Arial" w:eastAsia="Times New Roman" w:hAnsi="Arial"/>
                <w:sz w:val="20"/>
                <w:szCs w:val="24"/>
              </w:rPr>
              <w:t>88</w:t>
            </w:r>
          </w:p>
          <w:p w14:paraId="0170B5DF" w14:textId="77777777" w:rsidR="00E0016F" w:rsidRPr="006D0B14" w:rsidRDefault="00E0016F" w:rsidP="00E0016F">
            <w:pPr>
              <w:tabs>
                <w:tab w:val="left" w:pos="2127"/>
              </w:tabs>
              <w:spacing w:after="0" w:line="240" w:lineRule="auto"/>
              <w:jc w:val="right"/>
              <w:rPr>
                <w:rFonts w:ascii="Arial" w:eastAsia="Times New Roman" w:hAnsi="Arial"/>
                <w:sz w:val="20"/>
                <w:szCs w:val="24"/>
              </w:rPr>
            </w:pPr>
          </w:p>
          <w:p w14:paraId="5BFDD752" w14:textId="77777777" w:rsidR="00E0016F" w:rsidRPr="006D0B14" w:rsidRDefault="00E0016F" w:rsidP="00E0016F">
            <w:pPr>
              <w:tabs>
                <w:tab w:val="left" w:pos="2127"/>
              </w:tabs>
              <w:spacing w:after="0" w:line="240" w:lineRule="auto"/>
              <w:jc w:val="right"/>
              <w:rPr>
                <w:rFonts w:ascii="Arial" w:eastAsia="Times New Roman" w:hAnsi="Arial"/>
                <w:sz w:val="20"/>
                <w:szCs w:val="24"/>
              </w:rPr>
            </w:pPr>
          </w:p>
          <w:p w14:paraId="343A3E2E" w14:textId="77777777" w:rsidR="00E0016F" w:rsidRPr="006D0B14" w:rsidRDefault="00E0016F" w:rsidP="00E0016F">
            <w:pPr>
              <w:tabs>
                <w:tab w:val="left" w:pos="2127"/>
              </w:tabs>
              <w:spacing w:after="0" w:line="240" w:lineRule="auto"/>
              <w:jc w:val="right"/>
              <w:rPr>
                <w:rFonts w:ascii="Arial" w:eastAsia="Times New Roman" w:hAnsi="Arial"/>
                <w:sz w:val="20"/>
                <w:szCs w:val="24"/>
              </w:rPr>
            </w:pPr>
          </w:p>
          <w:p w14:paraId="39704467" w14:textId="76F9E626" w:rsidR="00E0016F" w:rsidRPr="006D0B14" w:rsidRDefault="000115D0" w:rsidP="00E0016F">
            <w:pPr>
              <w:tabs>
                <w:tab w:val="left" w:pos="2127"/>
              </w:tabs>
              <w:spacing w:after="0" w:line="240" w:lineRule="auto"/>
              <w:jc w:val="right"/>
              <w:rPr>
                <w:rFonts w:ascii="Arial" w:eastAsia="Times New Roman" w:hAnsi="Arial"/>
                <w:sz w:val="20"/>
                <w:szCs w:val="24"/>
              </w:rPr>
            </w:pPr>
            <w:r w:rsidRPr="000115D0">
              <w:rPr>
                <w:rFonts w:ascii="Arial" w:eastAsia="Times New Roman" w:hAnsi="Arial"/>
                <w:sz w:val="20"/>
                <w:szCs w:val="24"/>
              </w:rPr>
              <w:t>69.90</w:t>
            </w:r>
          </w:p>
          <w:p w14:paraId="22FCE728" w14:textId="77777777" w:rsidR="00E0016F" w:rsidRPr="006D0B14" w:rsidRDefault="00E0016F" w:rsidP="00E0016F">
            <w:pPr>
              <w:tabs>
                <w:tab w:val="left" w:pos="2127"/>
              </w:tabs>
              <w:spacing w:after="0" w:line="240" w:lineRule="auto"/>
              <w:jc w:val="right"/>
              <w:rPr>
                <w:rFonts w:ascii="Arial" w:eastAsia="Times New Roman" w:hAnsi="Arial"/>
                <w:sz w:val="20"/>
                <w:szCs w:val="24"/>
              </w:rPr>
            </w:pPr>
          </w:p>
          <w:p w14:paraId="2562E9F0" w14:textId="77777777" w:rsidR="002274BB" w:rsidRPr="006D0B14" w:rsidRDefault="002274BB" w:rsidP="0046211E">
            <w:pPr>
              <w:tabs>
                <w:tab w:val="left" w:pos="2127"/>
              </w:tabs>
              <w:spacing w:after="0" w:line="240" w:lineRule="auto"/>
              <w:jc w:val="right"/>
              <w:rPr>
                <w:rFonts w:ascii="Arial" w:eastAsia="Times New Roman" w:hAnsi="Arial"/>
                <w:sz w:val="20"/>
                <w:szCs w:val="24"/>
              </w:rPr>
            </w:pPr>
          </w:p>
          <w:p w14:paraId="4DF04203" w14:textId="77777777" w:rsidR="00BD4DAA" w:rsidRPr="006D0B14" w:rsidRDefault="00BD4DAA" w:rsidP="0046211E">
            <w:pPr>
              <w:tabs>
                <w:tab w:val="left" w:pos="2127"/>
              </w:tabs>
              <w:spacing w:after="0" w:line="240" w:lineRule="auto"/>
              <w:jc w:val="right"/>
              <w:rPr>
                <w:rFonts w:ascii="Arial" w:eastAsia="Times New Roman" w:hAnsi="Arial"/>
                <w:sz w:val="20"/>
                <w:szCs w:val="24"/>
              </w:rPr>
            </w:pPr>
          </w:p>
          <w:p w14:paraId="67AEE6DD" w14:textId="0DBE05C6" w:rsidR="0046211E" w:rsidRPr="006D0B14" w:rsidRDefault="0046211E" w:rsidP="0046211E">
            <w:pPr>
              <w:tabs>
                <w:tab w:val="left" w:pos="2127"/>
              </w:tabs>
              <w:spacing w:after="0" w:line="240" w:lineRule="auto"/>
              <w:jc w:val="right"/>
              <w:rPr>
                <w:rFonts w:ascii="Arial" w:eastAsia="Times New Roman" w:hAnsi="Arial"/>
                <w:sz w:val="20"/>
                <w:szCs w:val="24"/>
              </w:rPr>
            </w:pPr>
            <w:r w:rsidRPr="006D0B14">
              <w:rPr>
                <w:rFonts w:ascii="Arial" w:eastAsia="Times New Roman" w:hAnsi="Arial"/>
                <w:sz w:val="20"/>
                <w:szCs w:val="24"/>
              </w:rPr>
              <w:t>1</w:t>
            </w:r>
            <w:r w:rsidR="00DB4EBA" w:rsidRPr="006D0B14">
              <w:rPr>
                <w:rFonts w:ascii="Arial" w:eastAsia="Times New Roman" w:hAnsi="Arial"/>
                <w:sz w:val="20"/>
                <w:szCs w:val="24"/>
              </w:rPr>
              <w:t>87.90</w:t>
            </w:r>
          </w:p>
          <w:p w14:paraId="3BDBA1B3" w14:textId="21C0648A" w:rsidR="0046211E" w:rsidRPr="006D0B14" w:rsidRDefault="00DB4EBA" w:rsidP="0046211E">
            <w:pPr>
              <w:tabs>
                <w:tab w:val="left" w:pos="2127"/>
              </w:tabs>
              <w:spacing w:after="0" w:line="240" w:lineRule="auto"/>
              <w:jc w:val="right"/>
              <w:rPr>
                <w:rFonts w:ascii="Arial" w:eastAsia="Times New Roman" w:hAnsi="Arial"/>
                <w:sz w:val="20"/>
                <w:szCs w:val="24"/>
              </w:rPr>
            </w:pPr>
            <w:r w:rsidRPr="006D0B14">
              <w:rPr>
                <w:rFonts w:ascii="Arial" w:eastAsia="Times New Roman" w:hAnsi="Arial"/>
                <w:sz w:val="20"/>
                <w:szCs w:val="24"/>
              </w:rPr>
              <w:t>217.90</w:t>
            </w:r>
          </w:p>
          <w:p w14:paraId="6CDDC80A" w14:textId="13501388" w:rsidR="00DB4EBA" w:rsidRPr="006D0B14" w:rsidRDefault="00DB4EBA" w:rsidP="0046211E">
            <w:pPr>
              <w:tabs>
                <w:tab w:val="left" w:pos="2127"/>
              </w:tabs>
              <w:spacing w:after="0" w:line="240" w:lineRule="auto"/>
              <w:jc w:val="right"/>
              <w:rPr>
                <w:rFonts w:ascii="Arial" w:eastAsia="Times New Roman" w:hAnsi="Arial"/>
                <w:sz w:val="20"/>
                <w:szCs w:val="24"/>
              </w:rPr>
            </w:pPr>
          </w:p>
          <w:p w14:paraId="020A1177" w14:textId="574CB987" w:rsidR="00DB4EBA" w:rsidRPr="006D0B14" w:rsidRDefault="00DB4EBA" w:rsidP="0046211E">
            <w:pPr>
              <w:tabs>
                <w:tab w:val="left" w:pos="2127"/>
              </w:tabs>
              <w:spacing w:after="0" w:line="240" w:lineRule="auto"/>
              <w:jc w:val="right"/>
              <w:rPr>
                <w:rFonts w:ascii="Arial" w:eastAsia="Times New Roman" w:hAnsi="Arial"/>
                <w:sz w:val="20"/>
                <w:szCs w:val="24"/>
              </w:rPr>
            </w:pPr>
          </w:p>
          <w:p w14:paraId="4D8F9F9C" w14:textId="77777777" w:rsidR="00DB4EBA" w:rsidRPr="006D0B14" w:rsidRDefault="00DB4EBA" w:rsidP="00DB4EBA">
            <w:pPr>
              <w:tabs>
                <w:tab w:val="left" w:pos="2127"/>
              </w:tabs>
              <w:spacing w:after="0" w:line="240" w:lineRule="auto"/>
              <w:jc w:val="right"/>
              <w:rPr>
                <w:rFonts w:ascii="Arial" w:eastAsia="Times New Roman" w:hAnsi="Arial"/>
                <w:sz w:val="20"/>
                <w:szCs w:val="24"/>
              </w:rPr>
            </w:pPr>
            <w:r w:rsidRPr="006D0B14">
              <w:rPr>
                <w:rFonts w:ascii="Arial" w:eastAsia="Times New Roman" w:hAnsi="Arial"/>
                <w:sz w:val="20"/>
                <w:szCs w:val="24"/>
              </w:rPr>
              <w:t>82.45</w:t>
            </w:r>
          </w:p>
          <w:p w14:paraId="19EAFA5E" w14:textId="77777777" w:rsidR="00DB4EBA" w:rsidRPr="006D0B14" w:rsidRDefault="00DB4EBA" w:rsidP="00DB4EBA">
            <w:pPr>
              <w:tabs>
                <w:tab w:val="left" w:pos="2127"/>
              </w:tabs>
              <w:spacing w:after="0" w:line="240" w:lineRule="auto"/>
              <w:jc w:val="right"/>
              <w:rPr>
                <w:rFonts w:ascii="Arial" w:eastAsia="Times New Roman" w:hAnsi="Arial"/>
                <w:sz w:val="20"/>
                <w:szCs w:val="24"/>
              </w:rPr>
            </w:pPr>
            <w:r w:rsidRPr="006D0B14">
              <w:rPr>
                <w:rFonts w:ascii="Arial" w:eastAsia="Times New Roman" w:hAnsi="Arial"/>
                <w:sz w:val="20"/>
                <w:szCs w:val="24"/>
              </w:rPr>
              <w:t>207.05</w:t>
            </w:r>
          </w:p>
          <w:p w14:paraId="6693A1B1" w14:textId="77777777" w:rsidR="00DB4EBA" w:rsidRPr="006D0B14" w:rsidRDefault="00DB4EBA" w:rsidP="00DB4EBA">
            <w:pPr>
              <w:tabs>
                <w:tab w:val="left" w:pos="2127"/>
              </w:tabs>
              <w:spacing w:after="0" w:line="240" w:lineRule="auto"/>
              <w:jc w:val="right"/>
              <w:rPr>
                <w:rFonts w:ascii="Arial" w:eastAsia="Times New Roman" w:hAnsi="Arial"/>
                <w:sz w:val="20"/>
                <w:szCs w:val="24"/>
              </w:rPr>
            </w:pPr>
            <w:r w:rsidRPr="006D0B14">
              <w:rPr>
                <w:rFonts w:ascii="Arial" w:eastAsia="Times New Roman" w:hAnsi="Arial"/>
                <w:sz w:val="20"/>
                <w:szCs w:val="24"/>
              </w:rPr>
              <w:t>308.20</w:t>
            </w:r>
          </w:p>
          <w:p w14:paraId="48AEF052" w14:textId="77777777" w:rsidR="00DB4EBA" w:rsidRPr="006D0B14" w:rsidRDefault="00DB4EBA" w:rsidP="00DB4EBA">
            <w:pPr>
              <w:tabs>
                <w:tab w:val="left" w:pos="2127"/>
              </w:tabs>
              <w:spacing w:after="0" w:line="240" w:lineRule="auto"/>
              <w:jc w:val="right"/>
              <w:rPr>
                <w:rFonts w:ascii="Arial" w:eastAsia="Times New Roman" w:hAnsi="Arial"/>
                <w:sz w:val="20"/>
                <w:szCs w:val="24"/>
              </w:rPr>
            </w:pPr>
            <w:r w:rsidRPr="006D0B14">
              <w:rPr>
                <w:rFonts w:ascii="Arial" w:eastAsia="Times New Roman" w:hAnsi="Arial"/>
                <w:sz w:val="20"/>
                <w:szCs w:val="24"/>
              </w:rPr>
              <w:t>417.85</w:t>
            </w:r>
          </w:p>
          <w:p w14:paraId="35764BD5" w14:textId="7A465EA4" w:rsidR="00DB4EBA" w:rsidRPr="006D0B14" w:rsidRDefault="00DB4EBA" w:rsidP="00DB4EBA">
            <w:pPr>
              <w:tabs>
                <w:tab w:val="left" w:pos="2127"/>
              </w:tabs>
              <w:spacing w:after="0" w:line="240" w:lineRule="auto"/>
              <w:jc w:val="right"/>
              <w:rPr>
                <w:rFonts w:ascii="Arial" w:eastAsia="Times New Roman" w:hAnsi="Arial"/>
                <w:sz w:val="20"/>
                <w:szCs w:val="24"/>
              </w:rPr>
            </w:pPr>
            <w:r w:rsidRPr="006D0B14">
              <w:rPr>
                <w:rFonts w:ascii="Arial" w:eastAsia="Times New Roman" w:hAnsi="Arial"/>
                <w:sz w:val="20"/>
                <w:szCs w:val="24"/>
              </w:rPr>
              <w:t>526.00</w:t>
            </w:r>
          </w:p>
          <w:p w14:paraId="73D71BB4" w14:textId="0F6D315E" w:rsidR="0046211E" w:rsidRPr="006D0B14" w:rsidRDefault="0046211E" w:rsidP="0046211E">
            <w:pPr>
              <w:tabs>
                <w:tab w:val="left" w:pos="2127"/>
              </w:tabs>
              <w:spacing w:after="0" w:line="240" w:lineRule="auto"/>
              <w:jc w:val="right"/>
              <w:rPr>
                <w:rFonts w:ascii="Arial" w:eastAsia="Times New Roman" w:hAnsi="Arial"/>
                <w:sz w:val="20"/>
                <w:szCs w:val="24"/>
              </w:rPr>
            </w:pPr>
          </w:p>
          <w:p w14:paraId="5B3CA4CC" w14:textId="50FEF93D" w:rsidR="0046211E" w:rsidRPr="006D0B14" w:rsidRDefault="0046211E" w:rsidP="00E0016F">
            <w:pPr>
              <w:tabs>
                <w:tab w:val="left" w:pos="2127"/>
              </w:tabs>
              <w:spacing w:after="0" w:line="240" w:lineRule="auto"/>
              <w:jc w:val="right"/>
              <w:rPr>
                <w:rFonts w:ascii="Arial" w:eastAsia="Times New Roman" w:hAnsi="Arial"/>
                <w:sz w:val="20"/>
                <w:szCs w:val="24"/>
              </w:rPr>
            </w:pPr>
          </w:p>
        </w:tc>
      </w:tr>
    </w:tbl>
    <w:p w14:paraId="336F5213" w14:textId="1007DC0F" w:rsidR="00853881" w:rsidRDefault="00853881" w:rsidP="00853881">
      <w:pPr>
        <w:spacing w:after="0" w:line="240" w:lineRule="auto"/>
        <w:rPr>
          <w:rFonts w:ascii="Arial" w:eastAsia="Times New Roman" w:hAnsi="Arial" w:cs="Arial"/>
          <w:sz w:val="20"/>
          <w:szCs w:val="20"/>
        </w:rPr>
      </w:pPr>
    </w:p>
    <w:p w14:paraId="50AC71BA" w14:textId="77777777" w:rsidR="00853881" w:rsidRDefault="00853881" w:rsidP="00853881">
      <w:pPr>
        <w:spacing w:after="0" w:line="240" w:lineRule="auto"/>
        <w:rPr>
          <w:rFonts w:ascii="Arial" w:eastAsia="Times New Roman" w:hAnsi="Arial" w:cs="Arial"/>
          <w:sz w:val="20"/>
          <w:szCs w:val="20"/>
          <w:u w:val="single"/>
        </w:rPr>
      </w:pPr>
    </w:p>
    <w:p w14:paraId="0293C9B6" w14:textId="77777777" w:rsidR="00853881" w:rsidRPr="00853881" w:rsidRDefault="00853881" w:rsidP="00853881">
      <w:pPr>
        <w:spacing w:after="0" w:line="240" w:lineRule="auto"/>
        <w:rPr>
          <w:rFonts w:ascii="Arial" w:eastAsia="Times New Roman" w:hAnsi="Arial" w:cs="Arial"/>
          <w:sz w:val="20"/>
          <w:szCs w:val="20"/>
          <w:u w:val="single"/>
        </w:rPr>
      </w:pPr>
      <w:r w:rsidRPr="00853881">
        <w:rPr>
          <w:rFonts w:ascii="Arial" w:eastAsia="Times New Roman" w:hAnsi="Arial" w:cs="Arial"/>
          <w:sz w:val="20"/>
          <w:szCs w:val="20"/>
          <w:u w:val="single"/>
        </w:rPr>
        <w:t>Notes</w:t>
      </w:r>
    </w:p>
    <w:p w14:paraId="7AADF61F" w14:textId="77777777" w:rsidR="00853881" w:rsidRPr="00853881" w:rsidRDefault="00853881" w:rsidP="00853881">
      <w:pPr>
        <w:spacing w:after="0" w:line="240" w:lineRule="auto"/>
        <w:jc w:val="both"/>
        <w:rPr>
          <w:rFonts w:ascii="Arial" w:eastAsia="Times New Roman" w:hAnsi="Arial" w:cs="Arial"/>
          <w:sz w:val="20"/>
          <w:szCs w:val="20"/>
        </w:rPr>
      </w:pPr>
      <w:r w:rsidRPr="00853881">
        <w:rPr>
          <w:rFonts w:ascii="Arial" w:eastAsia="Times New Roman" w:hAnsi="Arial" w:cs="Arial"/>
          <w:sz w:val="20"/>
          <w:szCs w:val="20"/>
        </w:rPr>
        <w:t xml:space="preserve">(1) </w:t>
      </w:r>
      <w:r>
        <w:rPr>
          <w:rFonts w:ascii="Arial" w:eastAsia="Times New Roman" w:hAnsi="Arial" w:cs="Arial"/>
          <w:sz w:val="20"/>
          <w:szCs w:val="20"/>
        </w:rPr>
        <w:t>Unless stated otherwise,</w:t>
      </w:r>
      <w:r w:rsidRPr="00853881">
        <w:rPr>
          <w:rFonts w:ascii="Arial" w:eastAsia="Times New Roman" w:hAnsi="Arial" w:cs="Arial"/>
          <w:sz w:val="20"/>
          <w:szCs w:val="20"/>
        </w:rPr>
        <w:t xml:space="preserve"> all above charges are on a </w:t>
      </w:r>
      <w:r w:rsidR="007709C4" w:rsidRPr="00853881">
        <w:rPr>
          <w:rFonts w:ascii="Arial" w:eastAsia="Times New Roman" w:hAnsi="Arial" w:cs="Arial"/>
          <w:sz w:val="20"/>
          <w:szCs w:val="20"/>
        </w:rPr>
        <w:t>52-week</w:t>
      </w:r>
      <w:r w:rsidRPr="00853881">
        <w:rPr>
          <w:rFonts w:ascii="Arial" w:eastAsia="Times New Roman" w:hAnsi="Arial" w:cs="Arial"/>
          <w:sz w:val="20"/>
          <w:szCs w:val="20"/>
        </w:rPr>
        <w:t xml:space="preserve"> basis.</w:t>
      </w:r>
    </w:p>
    <w:p w14:paraId="42079041" w14:textId="77777777" w:rsidR="002274BB" w:rsidRDefault="00853881" w:rsidP="00853881">
      <w:pPr>
        <w:spacing w:after="0" w:line="240" w:lineRule="auto"/>
        <w:jc w:val="both"/>
        <w:rPr>
          <w:rFonts w:ascii="Arial" w:eastAsia="Times New Roman" w:hAnsi="Arial" w:cs="Arial"/>
          <w:sz w:val="20"/>
          <w:szCs w:val="20"/>
        </w:rPr>
      </w:pPr>
      <w:r w:rsidRPr="00853881">
        <w:rPr>
          <w:rFonts w:ascii="Arial" w:eastAsia="Times New Roman" w:hAnsi="Arial" w:cs="Arial"/>
          <w:sz w:val="20"/>
          <w:szCs w:val="20"/>
        </w:rPr>
        <w:t xml:space="preserve">(2) Legislation requires that income derived from these facilities be sufficient to meet the necessary expenditure incurred in providing them. </w:t>
      </w:r>
    </w:p>
    <w:p w14:paraId="2796117E" w14:textId="77777777" w:rsidR="002274BB" w:rsidRPr="006D0B14" w:rsidRDefault="002274BB" w:rsidP="002274BB">
      <w:pPr>
        <w:jc w:val="both"/>
        <w:rPr>
          <w:sz w:val="16"/>
          <w:szCs w:val="16"/>
        </w:rPr>
      </w:pPr>
      <w:r w:rsidRPr="006D0B14">
        <w:rPr>
          <w:rFonts w:ascii="Arial" w:eastAsia="Times New Roman" w:hAnsi="Arial" w:cs="Arial"/>
          <w:sz w:val="20"/>
          <w:szCs w:val="20"/>
        </w:rPr>
        <w:t>(3) The above figures reflect service charges only and exclude rental charges.</w:t>
      </w:r>
    </w:p>
    <w:p w14:paraId="7EC80D81" w14:textId="0260436E" w:rsidR="00853881" w:rsidRDefault="00853881" w:rsidP="00853881">
      <w:pPr>
        <w:spacing w:after="0" w:line="240" w:lineRule="auto"/>
        <w:jc w:val="both"/>
        <w:rPr>
          <w:rFonts w:ascii="Arial" w:eastAsia="Times New Roman" w:hAnsi="Arial" w:cs="Arial"/>
          <w:sz w:val="20"/>
          <w:szCs w:val="20"/>
        </w:rPr>
      </w:pPr>
      <w:r w:rsidRPr="00853881">
        <w:rPr>
          <w:rFonts w:ascii="Arial" w:eastAsia="Times New Roman" w:hAnsi="Arial" w:cs="Arial"/>
          <w:sz w:val="20"/>
          <w:szCs w:val="20"/>
        </w:rPr>
        <w:t xml:space="preserve"> </w:t>
      </w:r>
    </w:p>
    <w:p w14:paraId="5BBB0393" w14:textId="77777777" w:rsidR="00FE007B" w:rsidRDefault="00FE007B" w:rsidP="00853881">
      <w:pPr>
        <w:spacing w:after="0" w:line="240" w:lineRule="auto"/>
        <w:jc w:val="both"/>
        <w:rPr>
          <w:rFonts w:ascii="Arial" w:eastAsia="Times New Roman" w:hAnsi="Arial" w:cs="Arial"/>
          <w:sz w:val="20"/>
          <w:szCs w:val="20"/>
        </w:rPr>
      </w:pPr>
    </w:p>
    <w:p w14:paraId="30850608" w14:textId="77777777" w:rsidR="00FE007B" w:rsidRDefault="00FE007B" w:rsidP="00853881">
      <w:pPr>
        <w:spacing w:after="0" w:line="240" w:lineRule="auto"/>
        <w:jc w:val="both"/>
        <w:rPr>
          <w:rFonts w:ascii="Arial" w:eastAsia="Times New Roman" w:hAnsi="Arial" w:cs="Arial"/>
          <w:sz w:val="20"/>
          <w:szCs w:val="20"/>
        </w:rPr>
      </w:pPr>
    </w:p>
    <w:p w14:paraId="65BCCA4E" w14:textId="77777777" w:rsidR="00FD18EB" w:rsidRPr="008F63F5" w:rsidRDefault="00FD18EB" w:rsidP="00FD18EB">
      <w:pPr>
        <w:spacing w:after="0" w:line="240" w:lineRule="auto"/>
        <w:jc w:val="right"/>
        <w:rPr>
          <w:rFonts w:ascii="Arial" w:eastAsia="Times New Roman" w:hAnsi="Arial" w:cs="Arial"/>
          <w:b/>
          <w:u w:val="single"/>
        </w:rPr>
      </w:pPr>
      <w:r w:rsidRPr="008F63F5">
        <w:rPr>
          <w:rFonts w:ascii="Arial" w:eastAsia="Times New Roman" w:hAnsi="Arial" w:cs="Arial"/>
          <w:b/>
          <w:u w:val="single"/>
        </w:rPr>
        <w:lastRenderedPageBreak/>
        <w:t>Appendix 3</w:t>
      </w:r>
    </w:p>
    <w:p w14:paraId="16A9FDDC" w14:textId="77777777" w:rsidR="000C229A" w:rsidRPr="008F63F5" w:rsidRDefault="000C229A">
      <w:pPr>
        <w:spacing w:after="0" w:line="240" w:lineRule="auto"/>
        <w:rPr>
          <w:rFonts w:ascii="Arial" w:eastAsia="Times New Roman" w:hAnsi="Arial" w:cs="Arial"/>
          <w:b/>
          <w:sz w:val="20"/>
          <w:szCs w:val="20"/>
        </w:rPr>
      </w:pPr>
      <w:r w:rsidRPr="008F63F5">
        <w:rPr>
          <w:rFonts w:ascii="Arial" w:eastAsia="Times New Roman" w:hAnsi="Arial" w:cs="Arial"/>
          <w:b/>
          <w:sz w:val="20"/>
          <w:szCs w:val="20"/>
        </w:rPr>
        <w:t>REVENUE BUDGET 20</w:t>
      </w:r>
      <w:r w:rsidR="00DE4A71">
        <w:rPr>
          <w:rFonts w:ascii="Arial" w:eastAsia="Times New Roman" w:hAnsi="Arial" w:cs="Arial"/>
          <w:b/>
          <w:sz w:val="20"/>
          <w:szCs w:val="20"/>
        </w:rPr>
        <w:t>2</w:t>
      </w:r>
      <w:r w:rsidR="00DE0490">
        <w:rPr>
          <w:rFonts w:ascii="Arial" w:eastAsia="Times New Roman" w:hAnsi="Arial" w:cs="Arial"/>
          <w:b/>
          <w:sz w:val="20"/>
          <w:szCs w:val="20"/>
        </w:rPr>
        <w:t>2</w:t>
      </w:r>
      <w:r w:rsidRPr="008F63F5">
        <w:rPr>
          <w:rFonts w:ascii="Arial" w:eastAsia="Times New Roman" w:hAnsi="Arial" w:cs="Arial"/>
          <w:b/>
          <w:sz w:val="20"/>
          <w:szCs w:val="20"/>
        </w:rPr>
        <w:t>/202</w:t>
      </w:r>
      <w:r w:rsidR="00DE0490">
        <w:rPr>
          <w:rFonts w:ascii="Arial" w:eastAsia="Times New Roman" w:hAnsi="Arial" w:cs="Arial"/>
          <w:b/>
          <w:sz w:val="20"/>
          <w:szCs w:val="20"/>
        </w:rPr>
        <w:t>3</w:t>
      </w:r>
    </w:p>
    <w:p w14:paraId="127CAD80" w14:textId="77777777" w:rsidR="000C229A" w:rsidRPr="008F63F5" w:rsidRDefault="000C229A">
      <w:pPr>
        <w:spacing w:after="0" w:line="240" w:lineRule="auto"/>
        <w:rPr>
          <w:rFonts w:ascii="Arial" w:eastAsia="Times New Roman" w:hAnsi="Arial" w:cs="Arial"/>
          <w:b/>
          <w:sz w:val="20"/>
          <w:szCs w:val="20"/>
        </w:rPr>
      </w:pPr>
    </w:p>
    <w:p w14:paraId="5418D367" w14:textId="77777777" w:rsidR="000C229A" w:rsidRPr="008F63F5" w:rsidRDefault="000C229A">
      <w:pPr>
        <w:spacing w:after="0" w:line="240" w:lineRule="auto"/>
        <w:rPr>
          <w:rFonts w:ascii="Arial" w:eastAsia="Times New Roman" w:hAnsi="Arial" w:cs="Arial"/>
          <w:b/>
          <w:sz w:val="20"/>
          <w:szCs w:val="20"/>
        </w:rPr>
      </w:pPr>
      <w:r w:rsidRPr="008F63F5">
        <w:rPr>
          <w:rFonts w:ascii="Arial" w:eastAsia="Times New Roman" w:hAnsi="Arial" w:cs="Arial"/>
          <w:b/>
          <w:sz w:val="20"/>
          <w:szCs w:val="20"/>
        </w:rPr>
        <w:t>RENT CONSULTATION OPTIONS</w:t>
      </w:r>
    </w:p>
    <w:p w14:paraId="5772F055" w14:textId="77777777" w:rsidR="00FD18EB" w:rsidRPr="008F63F5" w:rsidRDefault="00FD18EB">
      <w:pPr>
        <w:spacing w:after="0" w:line="240" w:lineRule="auto"/>
        <w:rPr>
          <w:rFonts w:ascii="Arial" w:eastAsia="Times New Roman" w:hAnsi="Arial" w:cs="Arial"/>
          <w:b/>
          <w:sz w:val="20"/>
          <w:szCs w:val="20"/>
        </w:rPr>
      </w:pPr>
    </w:p>
    <w:p w14:paraId="6F7AC584" w14:textId="77777777" w:rsidR="00FD18EB" w:rsidRPr="008F63F5" w:rsidRDefault="00FD18EB">
      <w:pPr>
        <w:spacing w:after="0" w:line="240" w:lineRule="auto"/>
        <w:rPr>
          <w:rFonts w:ascii="Arial" w:eastAsia="Times New Roman" w:hAnsi="Arial" w:cs="Arial"/>
          <w:sz w:val="20"/>
          <w:szCs w:val="20"/>
        </w:rPr>
      </w:pPr>
      <w:r w:rsidRPr="008F63F5">
        <w:rPr>
          <w:rFonts w:ascii="Arial" w:eastAsia="Times New Roman" w:hAnsi="Arial" w:cs="Arial"/>
          <w:sz w:val="20"/>
          <w:szCs w:val="20"/>
        </w:rPr>
        <w:t>The following table provides details of each option available for tenants to indicate their preference on.  For each option includes the details of the impact on service delivery of selecting this option.</w:t>
      </w:r>
    </w:p>
    <w:p w14:paraId="53F85495" w14:textId="77777777" w:rsidR="000C229A" w:rsidRPr="008F63F5" w:rsidRDefault="000C229A">
      <w:pPr>
        <w:spacing w:after="0" w:line="240" w:lineRule="auto"/>
        <w:rPr>
          <w:rFonts w:ascii="Arial" w:eastAsia="Times New Roman" w:hAnsi="Arial" w:cs="Arial"/>
          <w:sz w:val="20"/>
          <w:szCs w:val="20"/>
        </w:rPr>
      </w:pPr>
    </w:p>
    <w:tbl>
      <w:tblPr>
        <w:tblStyle w:val="TableGrid"/>
        <w:tblW w:w="9924" w:type="dxa"/>
        <w:tblInd w:w="-431" w:type="dxa"/>
        <w:tblLook w:val="04A0" w:firstRow="1" w:lastRow="0" w:firstColumn="1" w:lastColumn="0" w:noHBand="0" w:noVBand="1"/>
      </w:tblPr>
      <w:tblGrid>
        <w:gridCol w:w="9924"/>
      </w:tblGrid>
      <w:tr w:rsidR="008F63F5" w:rsidRPr="008F63F5" w14:paraId="23BB99B1" w14:textId="77777777" w:rsidTr="00176552">
        <w:tc>
          <w:tcPr>
            <w:tcW w:w="9924" w:type="dxa"/>
            <w:shd w:val="clear" w:color="auto" w:fill="D9D9D9" w:themeFill="background1" w:themeFillShade="D9"/>
          </w:tcPr>
          <w:p w14:paraId="78D1CD3D" w14:textId="77777777" w:rsidR="000C229A" w:rsidRPr="007709C4" w:rsidRDefault="000C229A" w:rsidP="00957DF3">
            <w:pPr>
              <w:spacing w:after="0" w:line="240" w:lineRule="auto"/>
              <w:rPr>
                <w:rFonts w:ascii="Arial" w:eastAsia="Times New Roman" w:hAnsi="Arial" w:cs="Arial"/>
                <w:b/>
                <w:color w:val="000000" w:themeColor="text1"/>
                <w:sz w:val="20"/>
                <w:szCs w:val="20"/>
              </w:rPr>
            </w:pPr>
            <w:r w:rsidRPr="007709C4">
              <w:rPr>
                <w:rFonts w:ascii="Arial" w:eastAsia="Times New Roman" w:hAnsi="Arial" w:cs="Arial"/>
                <w:b/>
                <w:color w:val="000000" w:themeColor="text1"/>
                <w:sz w:val="20"/>
                <w:szCs w:val="20"/>
              </w:rPr>
              <w:t xml:space="preserve">Option 1 – Rent Increase </w:t>
            </w:r>
            <w:r w:rsidR="007709C4" w:rsidRPr="007709C4">
              <w:rPr>
                <w:rFonts w:ascii="Arial" w:eastAsia="Times New Roman" w:hAnsi="Arial" w:cs="Arial"/>
                <w:b/>
                <w:color w:val="000000" w:themeColor="text1"/>
                <w:sz w:val="20"/>
                <w:szCs w:val="20"/>
              </w:rPr>
              <w:t>1.5</w:t>
            </w:r>
            <w:r w:rsidR="00DE4A71" w:rsidRPr="007709C4">
              <w:rPr>
                <w:rFonts w:ascii="Arial" w:eastAsia="Times New Roman" w:hAnsi="Arial" w:cs="Arial"/>
                <w:b/>
                <w:color w:val="000000" w:themeColor="text1"/>
                <w:sz w:val="20"/>
                <w:szCs w:val="20"/>
              </w:rPr>
              <w:t>0</w:t>
            </w:r>
            <w:r w:rsidRPr="007709C4">
              <w:rPr>
                <w:rFonts w:ascii="Arial" w:eastAsia="Times New Roman" w:hAnsi="Arial" w:cs="Arial"/>
                <w:b/>
                <w:color w:val="000000" w:themeColor="text1"/>
                <w:sz w:val="20"/>
                <w:szCs w:val="20"/>
              </w:rPr>
              <w:t>% (or average weekly increase of £</w:t>
            </w:r>
            <w:r w:rsidR="007709C4" w:rsidRPr="007709C4">
              <w:rPr>
                <w:rFonts w:ascii="Arial" w:eastAsia="Times New Roman" w:hAnsi="Arial" w:cs="Arial"/>
                <w:b/>
                <w:color w:val="000000" w:themeColor="text1"/>
                <w:sz w:val="20"/>
                <w:szCs w:val="20"/>
              </w:rPr>
              <w:t>1.1</w:t>
            </w:r>
            <w:r w:rsidR="00DE0490">
              <w:rPr>
                <w:rFonts w:ascii="Arial" w:eastAsia="Times New Roman" w:hAnsi="Arial" w:cs="Arial"/>
                <w:b/>
                <w:color w:val="000000" w:themeColor="text1"/>
                <w:sz w:val="20"/>
                <w:szCs w:val="20"/>
              </w:rPr>
              <w:t>9</w:t>
            </w:r>
            <w:r w:rsidRPr="007709C4">
              <w:rPr>
                <w:rFonts w:ascii="Arial" w:eastAsia="Times New Roman" w:hAnsi="Arial" w:cs="Arial"/>
                <w:b/>
                <w:color w:val="000000" w:themeColor="text1"/>
                <w:sz w:val="20"/>
                <w:szCs w:val="20"/>
              </w:rPr>
              <w:t>)</w:t>
            </w:r>
          </w:p>
        </w:tc>
      </w:tr>
      <w:tr w:rsidR="008F63F5" w:rsidRPr="008F63F5" w14:paraId="5077705E" w14:textId="77777777" w:rsidTr="00176552">
        <w:tc>
          <w:tcPr>
            <w:tcW w:w="9924" w:type="dxa"/>
          </w:tcPr>
          <w:p w14:paraId="6F03F0F1" w14:textId="77777777" w:rsidR="00FD18EB" w:rsidRPr="00A35FB3" w:rsidRDefault="00FD18EB" w:rsidP="00FD18EB">
            <w:pPr>
              <w:spacing w:after="0" w:line="240" w:lineRule="auto"/>
              <w:jc w:val="both"/>
              <w:rPr>
                <w:rFonts w:ascii="Arial" w:eastAsia="Times New Roman" w:hAnsi="Arial" w:cs="Arial"/>
                <w:color w:val="FF0000"/>
                <w:sz w:val="20"/>
                <w:szCs w:val="20"/>
              </w:rPr>
            </w:pPr>
          </w:p>
          <w:p w14:paraId="053F3EFF" w14:textId="77777777" w:rsidR="00FD18EB" w:rsidRPr="00E0016F" w:rsidRDefault="00FD18EB" w:rsidP="00FD18EB">
            <w:pPr>
              <w:spacing w:after="0" w:line="240" w:lineRule="auto"/>
              <w:jc w:val="both"/>
              <w:rPr>
                <w:rFonts w:ascii="Arial" w:eastAsia="Times New Roman" w:hAnsi="Arial" w:cs="Arial"/>
                <w:sz w:val="20"/>
                <w:szCs w:val="20"/>
              </w:rPr>
            </w:pPr>
            <w:r w:rsidRPr="00E0016F">
              <w:rPr>
                <w:rFonts w:ascii="Arial" w:eastAsia="Times New Roman" w:hAnsi="Arial" w:cs="Arial"/>
                <w:sz w:val="20"/>
                <w:szCs w:val="20"/>
              </w:rPr>
              <w:t>This option would allow for the additional adjustments o</w:t>
            </w:r>
            <w:r w:rsidR="00A56322" w:rsidRPr="00E0016F">
              <w:rPr>
                <w:rFonts w:ascii="Arial" w:eastAsia="Times New Roman" w:hAnsi="Arial" w:cs="Arial"/>
                <w:sz w:val="20"/>
                <w:szCs w:val="20"/>
              </w:rPr>
              <w:t>utlined in paragraphs 5.1 to 5.5</w:t>
            </w:r>
            <w:r w:rsidR="000C4B5B" w:rsidRPr="00E0016F">
              <w:rPr>
                <w:rFonts w:ascii="Arial" w:eastAsia="Times New Roman" w:hAnsi="Arial" w:cs="Arial"/>
                <w:sz w:val="20"/>
                <w:szCs w:val="20"/>
              </w:rPr>
              <w:t xml:space="preserve"> </w:t>
            </w:r>
            <w:r w:rsidR="00EC6BBD" w:rsidRPr="00E0016F">
              <w:rPr>
                <w:rFonts w:ascii="Arial" w:eastAsia="Times New Roman" w:hAnsi="Arial" w:cs="Arial"/>
                <w:sz w:val="20"/>
                <w:szCs w:val="20"/>
              </w:rPr>
              <w:t>of</w:t>
            </w:r>
            <w:r w:rsidR="000C4B5B" w:rsidRPr="00E0016F">
              <w:rPr>
                <w:rFonts w:ascii="Arial" w:eastAsia="Times New Roman" w:hAnsi="Arial" w:cs="Arial"/>
                <w:sz w:val="20"/>
                <w:szCs w:val="20"/>
              </w:rPr>
              <w:t xml:space="preserve"> this report</w:t>
            </w:r>
            <w:r w:rsidRPr="00E0016F">
              <w:rPr>
                <w:rFonts w:ascii="Arial" w:eastAsia="Times New Roman" w:hAnsi="Arial" w:cs="Arial"/>
                <w:sz w:val="20"/>
                <w:szCs w:val="20"/>
              </w:rPr>
              <w:t xml:space="preserve"> and provides sufficient resources to allow for the current level of service to be maintained and to continue to deliver on key service priorities.  </w:t>
            </w:r>
          </w:p>
          <w:p w14:paraId="66607069" w14:textId="77777777" w:rsidR="00FD18EB" w:rsidRPr="00E0016F" w:rsidRDefault="00FD18EB" w:rsidP="00FD18EB">
            <w:pPr>
              <w:spacing w:after="0" w:line="240" w:lineRule="auto"/>
              <w:jc w:val="both"/>
              <w:rPr>
                <w:rFonts w:ascii="Arial" w:eastAsia="Times New Roman" w:hAnsi="Arial" w:cs="Arial"/>
                <w:sz w:val="20"/>
                <w:szCs w:val="20"/>
              </w:rPr>
            </w:pPr>
          </w:p>
          <w:p w14:paraId="1CC559B1" w14:textId="77777777" w:rsidR="00FD18EB" w:rsidRPr="00E0016F" w:rsidRDefault="00FD18EB" w:rsidP="00FD18EB">
            <w:pPr>
              <w:spacing w:after="0" w:line="240" w:lineRule="auto"/>
              <w:jc w:val="both"/>
              <w:rPr>
                <w:rFonts w:ascii="Arial" w:eastAsia="Times New Roman" w:hAnsi="Arial" w:cs="Arial"/>
                <w:sz w:val="20"/>
                <w:szCs w:val="20"/>
              </w:rPr>
            </w:pPr>
            <w:r w:rsidRPr="00E0016F">
              <w:rPr>
                <w:rFonts w:ascii="Arial" w:eastAsia="Times New Roman" w:hAnsi="Arial" w:cs="Arial"/>
                <w:sz w:val="20"/>
                <w:szCs w:val="20"/>
              </w:rPr>
              <w:t>This level of service includes the provision of the existing housing repairs service, external cyclical maintenance together with funding to deliver key housing priorities including:</w:t>
            </w:r>
          </w:p>
          <w:p w14:paraId="5A0EA434" w14:textId="77777777" w:rsidR="00FD18EB" w:rsidRPr="00E0016F" w:rsidRDefault="00FD18EB" w:rsidP="002350AA">
            <w:pPr>
              <w:spacing w:after="0" w:line="240" w:lineRule="auto"/>
              <w:rPr>
                <w:rFonts w:ascii="Arial" w:eastAsia="Times New Roman" w:hAnsi="Arial" w:cs="Arial"/>
                <w:sz w:val="20"/>
                <w:szCs w:val="20"/>
              </w:rPr>
            </w:pPr>
            <w:r w:rsidRPr="00E0016F">
              <w:rPr>
                <w:rFonts w:ascii="Arial" w:eastAsia="Times New Roman" w:hAnsi="Arial" w:cs="Arial"/>
                <w:sz w:val="20"/>
                <w:szCs w:val="20"/>
              </w:rPr>
              <w:t xml:space="preserve"> -  tenancy sustainment</w:t>
            </w:r>
          </w:p>
          <w:p w14:paraId="7EBE54F9" w14:textId="77777777" w:rsidR="00FD18EB" w:rsidRPr="00E0016F" w:rsidRDefault="00FD18EB" w:rsidP="002350AA">
            <w:pPr>
              <w:spacing w:after="0" w:line="240" w:lineRule="auto"/>
              <w:rPr>
                <w:rFonts w:ascii="Arial" w:eastAsia="Times New Roman" w:hAnsi="Arial" w:cs="Arial"/>
                <w:sz w:val="20"/>
                <w:szCs w:val="20"/>
              </w:rPr>
            </w:pPr>
            <w:r w:rsidRPr="00E0016F">
              <w:rPr>
                <w:rFonts w:ascii="Arial" w:eastAsia="Times New Roman" w:hAnsi="Arial" w:cs="Arial"/>
                <w:sz w:val="20"/>
                <w:szCs w:val="20"/>
              </w:rPr>
              <w:t xml:space="preserve"> -  reducing the level of households in fuel poverty</w:t>
            </w:r>
          </w:p>
          <w:p w14:paraId="66CEDED9" w14:textId="77777777" w:rsidR="00FD18EB" w:rsidRPr="00E0016F" w:rsidRDefault="00FD18EB" w:rsidP="002350AA">
            <w:pPr>
              <w:spacing w:after="0" w:line="240" w:lineRule="auto"/>
              <w:rPr>
                <w:rFonts w:ascii="Arial" w:eastAsia="Times New Roman" w:hAnsi="Arial" w:cs="Arial"/>
                <w:sz w:val="20"/>
                <w:szCs w:val="20"/>
              </w:rPr>
            </w:pPr>
            <w:r w:rsidRPr="00E0016F">
              <w:rPr>
                <w:rFonts w:ascii="Arial" w:eastAsia="Times New Roman" w:hAnsi="Arial" w:cs="Arial"/>
                <w:sz w:val="20"/>
                <w:szCs w:val="20"/>
              </w:rPr>
              <w:t xml:space="preserve"> -  ongoing investment in existing stock and creation of new affordable housing</w:t>
            </w:r>
          </w:p>
          <w:p w14:paraId="2948178E" w14:textId="77777777" w:rsidR="000C229A" w:rsidRPr="00E0016F" w:rsidRDefault="00FD18EB" w:rsidP="002350AA">
            <w:pPr>
              <w:spacing w:after="0" w:line="240" w:lineRule="auto"/>
              <w:rPr>
                <w:rFonts w:ascii="Arial" w:eastAsia="Times New Roman" w:hAnsi="Arial" w:cs="Arial"/>
                <w:sz w:val="20"/>
                <w:szCs w:val="20"/>
              </w:rPr>
            </w:pPr>
            <w:r w:rsidRPr="00E0016F">
              <w:rPr>
                <w:rFonts w:ascii="Arial" w:eastAsia="Times New Roman" w:hAnsi="Arial" w:cs="Arial"/>
                <w:sz w:val="20"/>
                <w:szCs w:val="20"/>
              </w:rPr>
              <w:t xml:space="preserve"> - </w:t>
            </w:r>
            <w:r w:rsidR="000C4B5B" w:rsidRPr="00E0016F">
              <w:rPr>
                <w:rFonts w:ascii="Arial" w:eastAsia="Times New Roman" w:hAnsi="Arial" w:cs="Arial"/>
                <w:sz w:val="20"/>
                <w:szCs w:val="20"/>
              </w:rPr>
              <w:t xml:space="preserve"> </w:t>
            </w:r>
            <w:r w:rsidRPr="00E0016F">
              <w:rPr>
                <w:rFonts w:ascii="Arial" w:eastAsia="Times New Roman" w:hAnsi="Arial" w:cs="Arial"/>
                <w:sz w:val="20"/>
                <w:szCs w:val="20"/>
              </w:rPr>
              <w:t xml:space="preserve">continued investment </w:t>
            </w:r>
            <w:r w:rsidR="00FE007B" w:rsidRPr="00E0016F">
              <w:rPr>
                <w:rFonts w:ascii="Arial" w:eastAsia="Times New Roman" w:hAnsi="Arial" w:cs="Arial"/>
                <w:sz w:val="20"/>
                <w:szCs w:val="20"/>
              </w:rPr>
              <w:t xml:space="preserve">in </w:t>
            </w:r>
            <w:r w:rsidRPr="00E0016F">
              <w:rPr>
                <w:rFonts w:ascii="Arial" w:eastAsia="Times New Roman" w:hAnsi="Arial" w:cs="Arial"/>
                <w:sz w:val="20"/>
                <w:szCs w:val="20"/>
              </w:rPr>
              <w:t>environmental improvements programme</w:t>
            </w:r>
          </w:p>
          <w:p w14:paraId="4DBC6B91" w14:textId="77777777" w:rsidR="000C229A" w:rsidRPr="00A35FB3" w:rsidRDefault="000C229A">
            <w:pPr>
              <w:spacing w:after="0" w:line="240" w:lineRule="auto"/>
              <w:rPr>
                <w:rFonts w:ascii="Arial" w:eastAsia="Times New Roman" w:hAnsi="Arial" w:cs="Arial"/>
                <w:color w:val="FF0000"/>
                <w:sz w:val="20"/>
                <w:szCs w:val="20"/>
              </w:rPr>
            </w:pPr>
          </w:p>
        </w:tc>
      </w:tr>
      <w:tr w:rsidR="008F63F5" w:rsidRPr="008F63F5" w14:paraId="5FD5541B" w14:textId="77777777" w:rsidTr="00176552">
        <w:tc>
          <w:tcPr>
            <w:tcW w:w="9924" w:type="dxa"/>
            <w:shd w:val="clear" w:color="auto" w:fill="D9D9D9" w:themeFill="background1" w:themeFillShade="D9"/>
          </w:tcPr>
          <w:p w14:paraId="111EA60F" w14:textId="77777777" w:rsidR="000C229A" w:rsidRPr="007709C4" w:rsidRDefault="000C229A" w:rsidP="000D57BD">
            <w:pPr>
              <w:spacing w:after="0" w:line="240" w:lineRule="auto"/>
              <w:rPr>
                <w:rFonts w:ascii="Arial" w:eastAsia="Times New Roman" w:hAnsi="Arial" w:cs="Arial"/>
                <w:color w:val="000000" w:themeColor="text1"/>
                <w:sz w:val="20"/>
                <w:szCs w:val="20"/>
              </w:rPr>
            </w:pPr>
            <w:r w:rsidRPr="007709C4">
              <w:rPr>
                <w:rFonts w:ascii="Arial" w:eastAsia="Times New Roman" w:hAnsi="Arial" w:cs="Arial"/>
                <w:b/>
                <w:color w:val="000000" w:themeColor="text1"/>
                <w:sz w:val="20"/>
                <w:szCs w:val="20"/>
              </w:rPr>
              <w:t xml:space="preserve">Option 2 – Rent Increase </w:t>
            </w:r>
            <w:r w:rsidR="007709C4" w:rsidRPr="007709C4">
              <w:rPr>
                <w:rFonts w:ascii="Arial" w:eastAsia="Times New Roman" w:hAnsi="Arial" w:cs="Arial"/>
                <w:b/>
                <w:color w:val="000000" w:themeColor="text1"/>
                <w:sz w:val="20"/>
                <w:szCs w:val="20"/>
              </w:rPr>
              <w:t>1.75</w:t>
            </w:r>
            <w:r w:rsidRPr="007709C4">
              <w:rPr>
                <w:rFonts w:ascii="Arial" w:eastAsia="Times New Roman" w:hAnsi="Arial" w:cs="Arial"/>
                <w:b/>
                <w:color w:val="000000" w:themeColor="text1"/>
                <w:sz w:val="20"/>
                <w:szCs w:val="20"/>
              </w:rPr>
              <w:t>% (or average weekly increase of £</w:t>
            </w:r>
            <w:r w:rsidR="007709C4" w:rsidRPr="007709C4">
              <w:rPr>
                <w:rFonts w:ascii="Arial" w:eastAsia="Times New Roman" w:hAnsi="Arial" w:cs="Arial"/>
                <w:b/>
                <w:color w:val="000000" w:themeColor="text1"/>
                <w:sz w:val="20"/>
                <w:szCs w:val="20"/>
              </w:rPr>
              <w:t>1.</w:t>
            </w:r>
            <w:r w:rsidR="00055806">
              <w:rPr>
                <w:rFonts w:ascii="Arial" w:eastAsia="Times New Roman" w:hAnsi="Arial" w:cs="Arial"/>
                <w:b/>
                <w:color w:val="000000" w:themeColor="text1"/>
                <w:sz w:val="20"/>
                <w:szCs w:val="20"/>
              </w:rPr>
              <w:t>3</w:t>
            </w:r>
            <w:r w:rsidR="00DE0490">
              <w:rPr>
                <w:rFonts w:ascii="Arial" w:eastAsia="Times New Roman" w:hAnsi="Arial" w:cs="Arial"/>
                <w:b/>
                <w:color w:val="000000" w:themeColor="text1"/>
                <w:sz w:val="20"/>
                <w:szCs w:val="20"/>
              </w:rPr>
              <w:t>9</w:t>
            </w:r>
            <w:r w:rsidRPr="007709C4">
              <w:rPr>
                <w:rFonts w:ascii="Arial" w:eastAsia="Times New Roman" w:hAnsi="Arial" w:cs="Arial"/>
                <w:b/>
                <w:color w:val="000000" w:themeColor="text1"/>
                <w:sz w:val="20"/>
                <w:szCs w:val="20"/>
              </w:rPr>
              <w:t>)</w:t>
            </w:r>
          </w:p>
        </w:tc>
      </w:tr>
      <w:tr w:rsidR="008F63F5" w:rsidRPr="008F63F5" w14:paraId="42CCF014" w14:textId="77777777" w:rsidTr="00176552">
        <w:tc>
          <w:tcPr>
            <w:tcW w:w="9924" w:type="dxa"/>
          </w:tcPr>
          <w:p w14:paraId="160874AA" w14:textId="77777777" w:rsidR="00FD18EB" w:rsidRPr="00A35FB3" w:rsidRDefault="00FD18EB" w:rsidP="00FD18EB">
            <w:pPr>
              <w:spacing w:after="0" w:line="240" w:lineRule="auto"/>
              <w:jc w:val="both"/>
              <w:rPr>
                <w:rFonts w:ascii="Arial" w:eastAsia="Times New Roman" w:hAnsi="Arial" w:cs="Arial"/>
                <w:color w:val="FF0000"/>
                <w:sz w:val="20"/>
                <w:szCs w:val="20"/>
              </w:rPr>
            </w:pPr>
          </w:p>
          <w:p w14:paraId="5D7063F7" w14:textId="77777777" w:rsidR="00FD18EB" w:rsidRPr="00E0016F" w:rsidRDefault="00FD18EB" w:rsidP="00FD18EB">
            <w:pPr>
              <w:spacing w:after="0" w:line="240" w:lineRule="auto"/>
              <w:jc w:val="both"/>
              <w:rPr>
                <w:rFonts w:ascii="Arial" w:eastAsia="Times New Roman" w:hAnsi="Arial" w:cs="Arial"/>
                <w:sz w:val="20"/>
                <w:szCs w:val="20"/>
              </w:rPr>
            </w:pPr>
            <w:r w:rsidRPr="00E0016F">
              <w:rPr>
                <w:rFonts w:ascii="Arial" w:eastAsia="Times New Roman" w:hAnsi="Arial" w:cs="Arial"/>
                <w:sz w:val="20"/>
                <w:szCs w:val="20"/>
              </w:rPr>
              <w:t>This option would also provide resources for the level of service outlined in Option 1 above.</w:t>
            </w:r>
          </w:p>
          <w:p w14:paraId="3BB7DC23" w14:textId="77777777" w:rsidR="00FD18EB" w:rsidRPr="00E0016F" w:rsidRDefault="00FD18EB" w:rsidP="00FD18EB">
            <w:pPr>
              <w:spacing w:after="0" w:line="240" w:lineRule="auto"/>
              <w:jc w:val="both"/>
              <w:rPr>
                <w:rFonts w:ascii="Arial" w:eastAsia="Times New Roman" w:hAnsi="Arial" w:cs="Arial"/>
                <w:sz w:val="20"/>
                <w:szCs w:val="20"/>
              </w:rPr>
            </w:pPr>
          </w:p>
          <w:p w14:paraId="178509A7" w14:textId="2E20553C" w:rsidR="00846074" w:rsidRPr="00EA0B6C" w:rsidRDefault="008B18F4" w:rsidP="00167CB1">
            <w:pPr>
              <w:spacing w:after="0" w:line="240" w:lineRule="auto"/>
              <w:jc w:val="both"/>
              <w:rPr>
                <w:rFonts w:ascii="Arial" w:eastAsia="Times New Roman" w:hAnsi="Arial" w:cs="Arial"/>
                <w:color w:val="000000" w:themeColor="text1"/>
                <w:sz w:val="20"/>
                <w:szCs w:val="20"/>
              </w:rPr>
            </w:pPr>
            <w:r w:rsidRPr="00E80706">
              <w:rPr>
                <w:rFonts w:ascii="Arial" w:eastAsia="Times New Roman" w:hAnsi="Arial" w:cs="Arial"/>
                <w:sz w:val="20"/>
                <w:szCs w:val="20"/>
              </w:rPr>
              <w:t>In addition, t</w:t>
            </w:r>
            <w:r w:rsidR="00F36C3A" w:rsidRPr="00E80706">
              <w:rPr>
                <w:rFonts w:ascii="Arial" w:eastAsia="Times New Roman" w:hAnsi="Arial" w:cs="Arial"/>
                <w:sz w:val="20"/>
                <w:szCs w:val="20"/>
              </w:rPr>
              <w:t>he higher increase would provide additional income of £</w:t>
            </w:r>
            <w:r w:rsidR="007709C4">
              <w:rPr>
                <w:rFonts w:ascii="Arial" w:eastAsia="Times New Roman" w:hAnsi="Arial" w:cs="Arial"/>
                <w:sz w:val="20"/>
                <w:szCs w:val="20"/>
              </w:rPr>
              <w:t>12</w:t>
            </w:r>
            <w:r w:rsidR="00DE0490">
              <w:rPr>
                <w:rFonts w:ascii="Arial" w:eastAsia="Times New Roman" w:hAnsi="Arial" w:cs="Arial"/>
                <w:sz w:val="20"/>
                <w:szCs w:val="20"/>
              </w:rPr>
              <w:t>8</w:t>
            </w:r>
            <w:r w:rsidR="00E80706" w:rsidRPr="00E80706">
              <w:rPr>
                <w:rFonts w:ascii="Arial" w:eastAsia="Times New Roman" w:hAnsi="Arial" w:cs="Arial"/>
                <w:sz w:val="20"/>
                <w:szCs w:val="20"/>
              </w:rPr>
              <w:t>,</w:t>
            </w:r>
            <w:r w:rsidR="00F36C3A" w:rsidRPr="00E80706">
              <w:rPr>
                <w:rFonts w:ascii="Arial" w:eastAsia="Times New Roman" w:hAnsi="Arial" w:cs="Arial"/>
                <w:sz w:val="20"/>
                <w:szCs w:val="20"/>
              </w:rPr>
              <w:t>000 in financ</w:t>
            </w:r>
            <w:r w:rsidR="00594A97" w:rsidRPr="00E80706">
              <w:rPr>
                <w:rFonts w:ascii="Arial" w:eastAsia="Times New Roman" w:hAnsi="Arial" w:cs="Arial"/>
                <w:sz w:val="20"/>
                <w:szCs w:val="20"/>
              </w:rPr>
              <w:t>ial year 20</w:t>
            </w:r>
            <w:r w:rsidR="00167CB1" w:rsidRPr="00E80706">
              <w:rPr>
                <w:rFonts w:ascii="Arial" w:eastAsia="Times New Roman" w:hAnsi="Arial" w:cs="Arial"/>
                <w:sz w:val="20"/>
                <w:szCs w:val="20"/>
              </w:rPr>
              <w:t>2</w:t>
            </w:r>
            <w:r w:rsidR="00DE0490">
              <w:rPr>
                <w:rFonts w:ascii="Arial" w:eastAsia="Times New Roman" w:hAnsi="Arial" w:cs="Arial"/>
                <w:sz w:val="20"/>
                <w:szCs w:val="20"/>
              </w:rPr>
              <w:t>2</w:t>
            </w:r>
            <w:r w:rsidR="00167CB1" w:rsidRPr="00E80706">
              <w:rPr>
                <w:rFonts w:ascii="Arial" w:eastAsia="Times New Roman" w:hAnsi="Arial" w:cs="Arial"/>
                <w:sz w:val="20"/>
                <w:szCs w:val="20"/>
              </w:rPr>
              <w:t>/2</w:t>
            </w:r>
            <w:r w:rsidR="00DE0490">
              <w:rPr>
                <w:rFonts w:ascii="Arial" w:eastAsia="Times New Roman" w:hAnsi="Arial" w:cs="Arial"/>
                <w:sz w:val="20"/>
                <w:szCs w:val="20"/>
              </w:rPr>
              <w:t>3</w:t>
            </w:r>
            <w:r w:rsidR="001B2A00" w:rsidRPr="00E80706">
              <w:rPr>
                <w:rFonts w:ascii="Arial" w:eastAsia="Times New Roman" w:hAnsi="Arial" w:cs="Arial"/>
                <w:sz w:val="20"/>
                <w:szCs w:val="20"/>
              </w:rPr>
              <w:t xml:space="preserve"> that wo</w:t>
            </w:r>
            <w:r w:rsidR="00594A97" w:rsidRPr="00E80706">
              <w:rPr>
                <w:rFonts w:ascii="Arial" w:eastAsia="Times New Roman" w:hAnsi="Arial" w:cs="Arial"/>
                <w:sz w:val="20"/>
                <w:szCs w:val="20"/>
              </w:rPr>
              <w:t xml:space="preserve">uld </w:t>
            </w:r>
            <w:r w:rsidR="001026A2" w:rsidRPr="00E80706">
              <w:rPr>
                <w:rFonts w:ascii="Arial" w:eastAsia="Times New Roman" w:hAnsi="Arial" w:cs="Arial"/>
                <w:sz w:val="20"/>
                <w:szCs w:val="20"/>
              </w:rPr>
              <w:t xml:space="preserve">allow </w:t>
            </w:r>
            <w:r w:rsidR="001B2A00" w:rsidRPr="00E80706">
              <w:rPr>
                <w:rFonts w:ascii="Arial" w:eastAsia="Times New Roman" w:hAnsi="Arial" w:cs="Arial"/>
                <w:sz w:val="20"/>
                <w:szCs w:val="20"/>
              </w:rPr>
              <w:t xml:space="preserve">be invested </w:t>
            </w:r>
            <w:r w:rsidR="001B2A00" w:rsidRPr="007709C4">
              <w:rPr>
                <w:rFonts w:ascii="Arial" w:eastAsia="Times New Roman" w:hAnsi="Arial" w:cs="Arial"/>
                <w:color w:val="000000" w:themeColor="text1"/>
                <w:sz w:val="20"/>
                <w:szCs w:val="20"/>
              </w:rPr>
              <w:t>in additional borrowing.  This borrowing would provide extra capital expenditure of approximately £</w:t>
            </w:r>
            <w:r w:rsidR="0044310D">
              <w:rPr>
                <w:rFonts w:ascii="Arial" w:eastAsia="Times New Roman" w:hAnsi="Arial" w:cs="Arial"/>
                <w:color w:val="000000" w:themeColor="text1"/>
                <w:sz w:val="20"/>
                <w:szCs w:val="20"/>
              </w:rPr>
              <w:t>2.</w:t>
            </w:r>
            <w:r w:rsidR="00DE0490">
              <w:rPr>
                <w:rFonts w:ascii="Arial" w:eastAsia="Times New Roman" w:hAnsi="Arial" w:cs="Arial"/>
                <w:color w:val="000000" w:themeColor="text1"/>
                <w:sz w:val="20"/>
                <w:szCs w:val="20"/>
              </w:rPr>
              <w:t>3</w:t>
            </w:r>
            <w:r w:rsidR="001B2A00" w:rsidRPr="007709C4">
              <w:rPr>
                <w:rFonts w:ascii="Arial" w:eastAsia="Times New Roman" w:hAnsi="Arial" w:cs="Arial"/>
                <w:color w:val="000000" w:themeColor="text1"/>
                <w:sz w:val="20"/>
                <w:szCs w:val="20"/>
              </w:rPr>
              <w:t xml:space="preserve">m </w:t>
            </w:r>
            <w:r w:rsidR="001B2A00" w:rsidRPr="00EA0B6C">
              <w:rPr>
                <w:rFonts w:ascii="Arial" w:eastAsia="Times New Roman" w:hAnsi="Arial" w:cs="Arial"/>
                <w:color w:val="000000" w:themeColor="text1"/>
                <w:sz w:val="20"/>
                <w:szCs w:val="20"/>
              </w:rPr>
              <w:t xml:space="preserve">which would be targeted specifically to progress towards meeting the Energy Efficiency Standard in Social Housing (EESSH) on all council houses. </w:t>
            </w:r>
            <w:r w:rsidR="00CC1FC1" w:rsidRPr="00CC1FC1">
              <w:rPr>
                <w:rFonts w:ascii="Arial" w:eastAsia="Times New Roman" w:hAnsi="Arial" w:cs="Arial"/>
                <w:color w:val="000000" w:themeColor="text1"/>
                <w:sz w:val="20"/>
                <w:szCs w:val="20"/>
              </w:rPr>
              <w:t xml:space="preserve">An example of what this investment can typically provide would be </w:t>
            </w:r>
            <w:r w:rsidR="00176552" w:rsidRPr="00CC1FC1">
              <w:rPr>
                <w:rFonts w:ascii="Arial" w:eastAsia="Times New Roman" w:hAnsi="Arial" w:cs="Arial"/>
                <w:color w:val="000000" w:themeColor="text1"/>
                <w:sz w:val="20"/>
                <w:szCs w:val="20"/>
              </w:rPr>
              <w:t>resources to provide external wall insulation for 340 houses or installation of solar panels for 275 houses.</w:t>
            </w:r>
            <w:r w:rsidR="001B2A00" w:rsidRPr="00EA0B6C">
              <w:rPr>
                <w:rFonts w:ascii="Arial" w:eastAsia="Times New Roman" w:hAnsi="Arial" w:cs="Arial"/>
                <w:color w:val="000000" w:themeColor="text1"/>
                <w:sz w:val="20"/>
                <w:szCs w:val="20"/>
              </w:rPr>
              <w:t xml:space="preserve"> </w:t>
            </w:r>
          </w:p>
          <w:p w14:paraId="65D00476" w14:textId="77777777" w:rsidR="00846074" w:rsidRPr="00EA0B6C" w:rsidRDefault="00846074" w:rsidP="00167CB1">
            <w:pPr>
              <w:spacing w:after="0" w:line="240" w:lineRule="auto"/>
              <w:jc w:val="both"/>
              <w:rPr>
                <w:rFonts w:ascii="Arial" w:eastAsia="Times New Roman" w:hAnsi="Arial" w:cs="Arial"/>
                <w:color w:val="000000" w:themeColor="text1"/>
                <w:sz w:val="20"/>
                <w:szCs w:val="20"/>
              </w:rPr>
            </w:pPr>
          </w:p>
          <w:p w14:paraId="784816EE" w14:textId="77777777" w:rsidR="000D57BD" w:rsidRPr="00EA0B6C" w:rsidRDefault="00846074" w:rsidP="00167CB1">
            <w:pPr>
              <w:spacing w:after="0" w:line="240" w:lineRule="auto"/>
              <w:jc w:val="both"/>
              <w:rPr>
                <w:rFonts w:ascii="Arial" w:eastAsia="Times New Roman" w:hAnsi="Arial" w:cs="Arial"/>
                <w:color w:val="000000" w:themeColor="text1"/>
                <w:sz w:val="20"/>
                <w:szCs w:val="20"/>
              </w:rPr>
            </w:pPr>
            <w:r w:rsidRPr="00EA0B6C">
              <w:rPr>
                <w:rFonts w:ascii="Arial" w:eastAsia="Times New Roman" w:hAnsi="Arial" w:cs="Arial"/>
                <w:color w:val="000000" w:themeColor="text1"/>
                <w:sz w:val="20"/>
                <w:szCs w:val="20"/>
              </w:rPr>
              <w:t xml:space="preserve">As well as the </w:t>
            </w:r>
            <w:r w:rsidR="00E3005C" w:rsidRPr="00EA0B6C">
              <w:rPr>
                <w:rFonts w:ascii="Arial" w:eastAsia="Times New Roman" w:hAnsi="Arial" w:cs="Arial"/>
                <w:color w:val="000000" w:themeColor="text1"/>
                <w:sz w:val="20"/>
                <w:szCs w:val="20"/>
              </w:rPr>
              <w:t>continuation external w</w:t>
            </w:r>
            <w:r w:rsidR="006C43F8" w:rsidRPr="00EA0B6C">
              <w:rPr>
                <w:rFonts w:ascii="Arial" w:eastAsia="Times New Roman" w:hAnsi="Arial" w:cs="Arial"/>
                <w:color w:val="000000" w:themeColor="text1"/>
                <w:sz w:val="20"/>
                <w:szCs w:val="20"/>
              </w:rPr>
              <w:t>all and other i</w:t>
            </w:r>
            <w:r w:rsidRPr="00EA0B6C">
              <w:rPr>
                <w:rFonts w:ascii="Arial" w:eastAsia="Times New Roman" w:hAnsi="Arial" w:cs="Arial"/>
                <w:color w:val="000000" w:themeColor="text1"/>
                <w:sz w:val="20"/>
                <w:szCs w:val="20"/>
              </w:rPr>
              <w:t xml:space="preserve">nsulation programmes </w:t>
            </w:r>
            <w:r w:rsidR="006C43F8" w:rsidRPr="00EA0B6C">
              <w:rPr>
                <w:rFonts w:ascii="Arial" w:eastAsia="Times New Roman" w:hAnsi="Arial" w:cs="Arial"/>
                <w:color w:val="000000" w:themeColor="text1"/>
                <w:sz w:val="20"/>
                <w:szCs w:val="20"/>
              </w:rPr>
              <w:t xml:space="preserve">these </w:t>
            </w:r>
            <w:r w:rsidR="00A56322" w:rsidRPr="00EA0B6C">
              <w:rPr>
                <w:rFonts w:ascii="Arial" w:eastAsia="Times New Roman" w:hAnsi="Arial" w:cs="Arial"/>
                <w:color w:val="000000" w:themeColor="text1"/>
                <w:sz w:val="20"/>
                <w:szCs w:val="20"/>
              </w:rPr>
              <w:t xml:space="preserve">additional </w:t>
            </w:r>
            <w:r w:rsidR="006C43F8" w:rsidRPr="00EA0B6C">
              <w:rPr>
                <w:rFonts w:ascii="Arial" w:eastAsia="Times New Roman" w:hAnsi="Arial" w:cs="Arial"/>
                <w:color w:val="000000" w:themeColor="text1"/>
                <w:sz w:val="20"/>
                <w:szCs w:val="20"/>
              </w:rPr>
              <w:t xml:space="preserve">resources could be spent on a range of </w:t>
            </w:r>
            <w:r w:rsidR="000E484B" w:rsidRPr="00EA0B6C">
              <w:rPr>
                <w:rFonts w:ascii="Arial" w:eastAsia="Times New Roman" w:hAnsi="Arial" w:cs="Arial"/>
                <w:color w:val="000000" w:themeColor="text1"/>
                <w:sz w:val="20"/>
                <w:szCs w:val="20"/>
              </w:rPr>
              <w:t xml:space="preserve">other </w:t>
            </w:r>
            <w:r w:rsidR="006C43F8" w:rsidRPr="00EA0B6C">
              <w:rPr>
                <w:rFonts w:ascii="Arial" w:eastAsia="Times New Roman" w:hAnsi="Arial" w:cs="Arial"/>
                <w:color w:val="000000" w:themeColor="text1"/>
                <w:sz w:val="20"/>
                <w:szCs w:val="20"/>
              </w:rPr>
              <w:t xml:space="preserve">energy efficiency initiatives including </w:t>
            </w:r>
            <w:r w:rsidRPr="00EA0B6C">
              <w:rPr>
                <w:rFonts w:ascii="Arial" w:eastAsia="Times New Roman" w:hAnsi="Arial" w:cs="Arial"/>
                <w:color w:val="000000" w:themeColor="text1"/>
                <w:sz w:val="20"/>
                <w:szCs w:val="20"/>
              </w:rPr>
              <w:t>solar panels, linkages into new district heating schemes as these come on line and piloting emerging technologies for our houses to meet the new requirements</w:t>
            </w:r>
            <w:r w:rsidR="006C43F8" w:rsidRPr="00EA0B6C">
              <w:rPr>
                <w:rFonts w:ascii="Arial" w:eastAsia="Times New Roman" w:hAnsi="Arial" w:cs="Arial"/>
                <w:color w:val="000000" w:themeColor="text1"/>
                <w:sz w:val="20"/>
                <w:szCs w:val="20"/>
              </w:rPr>
              <w:t xml:space="preserve"> of EE</w:t>
            </w:r>
            <w:r w:rsidR="009F0624" w:rsidRPr="00EA0B6C">
              <w:rPr>
                <w:rFonts w:ascii="Arial" w:eastAsia="Times New Roman" w:hAnsi="Arial" w:cs="Arial"/>
                <w:color w:val="000000" w:themeColor="text1"/>
                <w:sz w:val="20"/>
                <w:szCs w:val="20"/>
              </w:rPr>
              <w:t>S</w:t>
            </w:r>
            <w:r w:rsidR="006C43F8" w:rsidRPr="00EA0B6C">
              <w:rPr>
                <w:rFonts w:ascii="Arial" w:eastAsia="Times New Roman" w:hAnsi="Arial" w:cs="Arial"/>
                <w:color w:val="000000" w:themeColor="text1"/>
                <w:sz w:val="20"/>
                <w:szCs w:val="20"/>
              </w:rPr>
              <w:t>SH</w:t>
            </w:r>
            <w:r w:rsidR="007709C4" w:rsidRPr="00EA0B6C">
              <w:rPr>
                <w:rFonts w:ascii="Arial" w:eastAsia="Times New Roman" w:hAnsi="Arial" w:cs="Arial"/>
                <w:color w:val="000000" w:themeColor="text1"/>
                <w:sz w:val="20"/>
                <w:szCs w:val="20"/>
              </w:rPr>
              <w:t>2.</w:t>
            </w:r>
            <w:r w:rsidRPr="00EA0B6C">
              <w:rPr>
                <w:rFonts w:ascii="Arial" w:eastAsia="Times New Roman" w:hAnsi="Arial" w:cs="Arial"/>
                <w:color w:val="000000" w:themeColor="text1"/>
                <w:sz w:val="20"/>
                <w:szCs w:val="20"/>
              </w:rPr>
              <w:t xml:space="preserve">       </w:t>
            </w:r>
          </w:p>
          <w:p w14:paraId="00A4902A" w14:textId="77777777" w:rsidR="000D57BD" w:rsidRPr="00EA0B6C" w:rsidRDefault="000D57BD" w:rsidP="00167CB1">
            <w:pPr>
              <w:spacing w:after="0" w:line="240" w:lineRule="auto"/>
              <w:jc w:val="both"/>
              <w:rPr>
                <w:rFonts w:ascii="Arial" w:eastAsia="Times New Roman" w:hAnsi="Arial" w:cs="Arial"/>
                <w:color w:val="000000" w:themeColor="text1"/>
                <w:sz w:val="20"/>
                <w:szCs w:val="20"/>
              </w:rPr>
            </w:pPr>
          </w:p>
          <w:p w14:paraId="56FECBB0" w14:textId="77777777" w:rsidR="00AA1ED7" w:rsidRPr="00AA1ED7" w:rsidRDefault="00AA1ED7" w:rsidP="00AA1ED7">
            <w:pPr>
              <w:spacing w:after="0" w:line="240" w:lineRule="auto"/>
              <w:jc w:val="both"/>
              <w:rPr>
                <w:rFonts w:ascii="Arial" w:eastAsia="Times New Roman" w:hAnsi="Arial" w:cs="Arial"/>
                <w:sz w:val="20"/>
                <w:szCs w:val="20"/>
              </w:rPr>
            </w:pPr>
            <w:r w:rsidRPr="00AA1ED7">
              <w:rPr>
                <w:rFonts w:ascii="Arial" w:eastAsia="Times New Roman" w:hAnsi="Arial" w:cs="Arial"/>
                <w:sz w:val="20"/>
                <w:szCs w:val="20"/>
              </w:rPr>
              <w:t>It should be emphasised that the above expenditure would be over and above that included in the latest Housing HRA Capital Plan 2021-26.  The Council is already investing significant resources to meet these requirements and the above plan includes over £42m for this purpose.  The agreement of option 2 would simply increase these resources and give an opportunity for these improvements to be delivered within a shorter timeframe.</w:t>
            </w:r>
          </w:p>
          <w:p w14:paraId="34873A1B" w14:textId="77777777" w:rsidR="00167CB1" w:rsidRPr="00A35FB3" w:rsidRDefault="00167CB1" w:rsidP="00167CB1">
            <w:pPr>
              <w:spacing w:after="0" w:line="240" w:lineRule="auto"/>
              <w:jc w:val="both"/>
              <w:rPr>
                <w:rFonts w:ascii="Arial" w:eastAsia="Times New Roman" w:hAnsi="Arial" w:cs="Arial"/>
                <w:color w:val="FF0000"/>
                <w:sz w:val="20"/>
                <w:szCs w:val="20"/>
              </w:rPr>
            </w:pPr>
          </w:p>
        </w:tc>
      </w:tr>
      <w:tr w:rsidR="008F63F5" w:rsidRPr="008F63F5" w14:paraId="1CAAC541" w14:textId="77777777" w:rsidTr="00176552">
        <w:tc>
          <w:tcPr>
            <w:tcW w:w="9924" w:type="dxa"/>
            <w:shd w:val="clear" w:color="auto" w:fill="D9D9D9" w:themeFill="background1" w:themeFillShade="D9"/>
          </w:tcPr>
          <w:p w14:paraId="4B231A0A" w14:textId="77777777" w:rsidR="000C229A" w:rsidRPr="007709C4" w:rsidRDefault="000C229A" w:rsidP="000D57BD">
            <w:pPr>
              <w:spacing w:after="0" w:line="240" w:lineRule="auto"/>
              <w:rPr>
                <w:rFonts w:ascii="Arial" w:eastAsia="Times New Roman" w:hAnsi="Arial" w:cs="Arial"/>
                <w:color w:val="000000" w:themeColor="text1"/>
                <w:sz w:val="20"/>
                <w:szCs w:val="20"/>
              </w:rPr>
            </w:pPr>
            <w:r w:rsidRPr="007709C4">
              <w:rPr>
                <w:rFonts w:ascii="Arial" w:eastAsia="Times New Roman" w:hAnsi="Arial" w:cs="Arial"/>
                <w:b/>
                <w:color w:val="000000" w:themeColor="text1"/>
                <w:sz w:val="20"/>
                <w:szCs w:val="20"/>
              </w:rPr>
              <w:t xml:space="preserve">Option 3 – Rent Increase </w:t>
            </w:r>
            <w:r w:rsidR="007709C4" w:rsidRPr="007709C4">
              <w:rPr>
                <w:rFonts w:ascii="Arial" w:eastAsia="Times New Roman" w:hAnsi="Arial" w:cs="Arial"/>
                <w:b/>
                <w:color w:val="000000" w:themeColor="text1"/>
                <w:sz w:val="20"/>
                <w:szCs w:val="20"/>
              </w:rPr>
              <w:t>2.0</w:t>
            </w:r>
            <w:r w:rsidR="00167CB1" w:rsidRPr="007709C4">
              <w:rPr>
                <w:rFonts w:ascii="Arial" w:eastAsia="Times New Roman" w:hAnsi="Arial" w:cs="Arial"/>
                <w:b/>
                <w:color w:val="000000" w:themeColor="text1"/>
                <w:sz w:val="20"/>
                <w:szCs w:val="20"/>
              </w:rPr>
              <w:t>0</w:t>
            </w:r>
            <w:r w:rsidRPr="007709C4">
              <w:rPr>
                <w:rFonts w:ascii="Arial" w:eastAsia="Times New Roman" w:hAnsi="Arial" w:cs="Arial"/>
                <w:b/>
                <w:color w:val="000000" w:themeColor="text1"/>
                <w:sz w:val="20"/>
                <w:szCs w:val="20"/>
              </w:rPr>
              <w:t>% (or average weekly increase of £</w:t>
            </w:r>
            <w:r w:rsidR="007709C4" w:rsidRPr="007709C4">
              <w:rPr>
                <w:rFonts w:ascii="Arial" w:eastAsia="Times New Roman" w:hAnsi="Arial" w:cs="Arial"/>
                <w:b/>
                <w:color w:val="000000" w:themeColor="text1"/>
                <w:sz w:val="20"/>
                <w:szCs w:val="20"/>
              </w:rPr>
              <w:t>1.</w:t>
            </w:r>
            <w:r w:rsidR="00055806">
              <w:rPr>
                <w:rFonts w:ascii="Arial" w:eastAsia="Times New Roman" w:hAnsi="Arial" w:cs="Arial"/>
                <w:b/>
                <w:color w:val="000000" w:themeColor="text1"/>
                <w:sz w:val="20"/>
                <w:szCs w:val="20"/>
              </w:rPr>
              <w:t>5</w:t>
            </w:r>
            <w:r w:rsidR="00DE0490">
              <w:rPr>
                <w:rFonts w:ascii="Arial" w:eastAsia="Times New Roman" w:hAnsi="Arial" w:cs="Arial"/>
                <w:b/>
                <w:color w:val="000000" w:themeColor="text1"/>
                <w:sz w:val="20"/>
                <w:szCs w:val="20"/>
              </w:rPr>
              <w:t>9</w:t>
            </w:r>
            <w:r w:rsidRPr="007709C4">
              <w:rPr>
                <w:rFonts w:ascii="Arial" w:eastAsia="Times New Roman" w:hAnsi="Arial" w:cs="Arial"/>
                <w:b/>
                <w:color w:val="000000" w:themeColor="text1"/>
                <w:sz w:val="20"/>
                <w:szCs w:val="20"/>
              </w:rPr>
              <w:t>)</w:t>
            </w:r>
          </w:p>
        </w:tc>
      </w:tr>
      <w:tr w:rsidR="008F63F5" w:rsidRPr="008F63F5" w14:paraId="454D28D9" w14:textId="77777777" w:rsidTr="00176552">
        <w:tc>
          <w:tcPr>
            <w:tcW w:w="9924" w:type="dxa"/>
          </w:tcPr>
          <w:p w14:paraId="5E5E1D5D" w14:textId="77777777" w:rsidR="000C229A" w:rsidRPr="00A35FB3" w:rsidRDefault="000C229A">
            <w:pPr>
              <w:spacing w:after="0" w:line="240" w:lineRule="auto"/>
              <w:rPr>
                <w:rFonts w:ascii="Arial" w:eastAsia="Times New Roman" w:hAnsi="Arial" w:cs="Arial"/>
                <w:color w:val="FF0000"/>
                <w:sz w:val="20"/>
                <w:szCs w:val="20"/>
              </w:rPr>
            </w:pPr>
          </w:p>
          <w:p w14:paraId="5B994EF4" w14:textId="77777777" w:rsidR="008B18F4" w:rsidRPr="00E0016F" w:rsidRDefault="008B18F4" w:rsidP="003B0165">
            <w:pPr>
              <w:spacing w:after="0" w:line="240" w:lineRule="auto"/>
              <w:jc w:val="both"/>
              <w:rPr>
                <w:rFonts w:ascii="Arial" w:eastAsia="Times New Roman" w:hAnsi="Arial" w:cs="Arial"/>
                <w:sz w:val="20"/>
                <w:szCs w:val="20"/>
              </w:rPr>
            </w:pPr>
            <w:r w:rsidRPr="00E0016F">
              <w:rPr>
                <w:rFonts w:ascii="Arial" w:eastAsia="Times New Roman" w:hAnsi="Arial" w:cs="Arial"/>
                <w:sz w:val="20"/>
                <w:szCs w:val="20"/>
              </w:rPr>
              <w:t xml:space="preserve">This option would also provide resources for the level of service outlined in Option </w:t>
            </w:r>
            <w:r w:rsidR="00594A97" w:rsidRPr="00E0016F">
              <w:rPr>
                <w:rFonts w:ascii="Arial" w:eastAsia="Times New Roman" w:hAnsi="Arial" w:cs="Arial"/>
                <w:sz w:val="20"/>
                <w:szCs w:val="20"/>
              </w:rPr>
              <w:t>1</w:t>
            </w:r>
            <w:r w:rsidRPr="00E0016F">
              <w:rPr>
                <w:rFonts w:ascii="Arial" w:eastAsia="Times New Roman" w:hAnsi="Arial" w:cs="Arial"/>
                <w:sz w:val="20"/>
                <w:szCs w:val="20"/>
              </w:rPr>
              <w:t xml:space="preserve"> above.</w:t>
            </w:r>
          </w:p>
          <w:p w14:paraId="2376BC23" w14:textId="77777777" w:rsidR="008B18F4" w:rsidRPr="00A35FB3" w:rsidRDefault="008B18F4" w:rsidP="003B0165">
            <w:pPr>
              <w:spacing w:after="0" w:line="240" w:lineRule="auto"/>
              <w:jc w:val="both"/>
              <w:rPr>
                <w:rFonts w:ascii="Arial" w:eastAsia="Times New Roman" w:hAnsi="Arial" w:cs="Arial"/>
                <w:color w:val="FF0000"/>
                <w:sz w:val="20"/>
                <w:szCs w:val="20"/>
              </w:rPr>
            </w:pPr>
          </w:p>
          <w:p w14:paraId="1D1C47DC" w14:textId="30138CFB" w:rsidR="00A56322" w:rsidRPr="00EA0B6C" w:rsidRDefault="001B2A00" w:rsidP="00A56322">
            <w:pPr>
              <w:spacing w:after="0" w:line="240" w:lineRule="auto"/>
              <w:jc w:val="both"/>
              <w:rPr>
                <w:rFonts w:ascii="Arial" w:eastAsia="Times New Roman" w:hAnsi="Arial" w:cs="Arial"/>
                <w:color w:val="000000" w:themeColor="text1"/>
                <w:sz w:val="20"/>
                <w:szCs w:val="20"/>
              </w:rPr>
            </w:pPr>
            <w:r w:rsidRPr="00E80706">
              <w:rPr>
                <w:rFonts w:ascii="Arial" w:eastAsia="Times New Roman" w:hAnsi="Arial" w:cs="Arial"/>
                <w:sz w:val="20"/>
                <w:szCs w:val="20"/>
              </w:rPr>
              <w:t xml:space="preserve">In addition, the higher increase </w:t>
            </w:r>
            <w:r w:rsidR="00A56322" w:rsidRPr="00E80706">
              <w:rPr>
                <w:rFonts w:ascii="Arial" w:eastAsia="Times New Roman" w:hAnsi="Arial" w:cs="Arial"/>
                <w:sz w:val="20"/>
                <w:szCs w:val="20"/>
              </w:rPr>
              <w:t>w</w:t>
            </w:r>
            <w:r w:rsidRPr="00E80706">
              <w:rPr>
                <w:rFonts w:ascii="Arial" w:eastAsia="Times New Roman" w:hAnsi="Arial" w:cs="Arial"/>
                <w:sz w:val="20"/>
                <w:szCs w:val="20"/>
              </w:rPr>
              <w:t>ould provide additional income of £</w:t>
            </w:r>
            <w:r w:rsidR="007709C4">
              <w:rPr>
                <w:rFonts w:ascii="Arial" w:eastAsia="Times New Roman" w:hAnsi="Arial" w:cs="Arial"/>
                <w:sz w:val="20"/>
                <w:szCs w:val="20"/>
              </w:rPr>
              <w:t>25</w:t>
            </w:r>
            <w:r w:rsidR="00034834">
              <w:rPr>
                <w:rFonts w:ascii="Arial" w:eastAsia="Times New Roman" w:hAnsi="Arial" w:cs="Arial"/>
                <w:sz w:val="20"/>
                <w:szCs w:val="20"/>
              </w:rPr>
              <w:t>6</w:t>
            </w:r>
            <w:r w:rsidRPr="00E80706">
              <w:rPr>
                <w:rFonts w:ascii="Arial" w:eastAsia="Times New Roman" w:hAnsi="Arial" w:cs="Arial"/>
                <w:sz w:val="20"/>
                <w:szCs w:val="20"/>
              </w:rPr>
              <w:t>,000 in financial year 202</w:t>
            </w:r>
            <w:r w:rsidR="00034834">
              <w:rPr>
                <w:rFonts w:ascii="Arial" w:eastAsia="Times New Roman" w:hAnsi="Arial" w:cs="Arial"/>
                <w:sz w:val="20"/>
                <w:szCs w:val="20"/>
              </w:rPr>
              <w:t>2</w:t>
            </w:r>
            <w:r w:rsidRPr="00E80706">
              <w:rPr>
                <w:rFonts w:ascii="Arial" w:eastAsia="Times New Roman" w:hAnsi="Arial" w:cs="Arial"/>
                <w:sz w:val="20"/>
                <w:szCs w:val="20"/>
              </w:rPr>
              <w:t>/2</w:t>
            </w:r>
            <w:r w:rsidR="00034834">
              <w:rPr>
                <w:rFonts w:ascii="Arial" w:eastAsia="Times New Roman" w:hAnsi="Arial" w:cs="Arial"/>
                <w:sz w:val="20"/>
                <w:szCs w:val="20"/>
              </w:rPr>
              <w:t>3</w:t>
            </w:r>
            <w:r w:rsidRPr="00E80706">
              <w:rPr>
                <w:rFonts w:ascii="Arial" w:eastAsia="Times New Roman" w:hAnsi="Arial" w:cs="Arial"/>
                <w:sz w:val="20"/>
                <w:szCs w:val="20"/>
              </w:rPr>
              <w:t xml:space="preserve"> that </w:t>
            </w:r>
            <w:r w:rsidRPr="007709C4">
              <w:rPr>
                <w:rFonts w:ascii="Arial" w:eastAsia="Times New Roman" w:hAnsi="Arial" w:cs="Arial"/>
                <w:color w:val="000000" w:themeColor="text1"/>
                <w:sz w:val="20"/>
                <w:szCs w:val="20"/>
              </w:rPr>
              <w:t xml:space="preserve">would allow be invested in additional borrowing.  </w:t>
            </w:r>
            <w:r w:rsidR="00A56322" w:rsidRPr="007709C4">
              <w:rPr>
                <w:rFonts w:ascii="Arial" w:eastAsia="Times New Roman" w:hAnsi="Arial" w:cs="Arial"/>
                <w:color w:val="000000" w:themeColor="text1"/>
                <w:sz w:val="20"/>
                <w:szCs w:val="20"/>
              </w:rPr>
              <w:t>This borrowing would provide extra capital expenditure of approximately £</w:t>
            </w:r>
            <w:r w:rsidR="0044310D">
              <w:rPr>
                <w:rFonts w:ascii="Arial" w:eastAsia="Times New Roman" w:hAnsi="Arial" w:cs="Arial"/>
                <w:color w:val="000000" w:themeColor="text1"/>
                <w:sz w:val="20"/>
                <w:szCs w:val="20"/>
              </w:rPr>
              <w:t>4.</w:t>
            </w:r>
            <w:r w:rsidR="00034834">
              <w:rPr>
                <w:rFonts w:ascii="Arial" w:eastAsia="Times New Roman" w:hAnsi="Arial" w:cs="Arial"/>
                <w:color w:val="000000" w:themeColor="text1"/>
                <w:sz w:val="20"/>
                <w:szCs w:val="20"/>
              </w:rPr>
              <w:t>6</w:t>
            </w:r>
            <w:r w:rsidR="00A56322" w:rsidRPr="007709C4">
              <w:rPr>
                <w:rFonts w:ascii="Arial" w:eastAsia="Times New Roman" w:hAnsi="Arial" w:cs="Arial"/>
                <w:color w:val="000000" w:themeColor="text1"/>
                <w:sz w:val="20"/>
                <w:szCs w:val="20"/>
              </w:rPr>
              <w:t xml:space="preserve">m </w:t>
            </w:r>
            <w:r w:rsidR="00A56322" w:rsidRPr="00EA0B6C">
              <w:rPr>
                <w:rFonts w:ascii="Arial" w:eastAsia="Times New Roman" w:hAnsi="Arial" w:cs="Arial"/>
                <w:color w:val="000000" w:themeColor="text1"/>
                <w:sz w:val="20"/>
                <w:szCs w:val="20"/>
              </w:rPr>
              <w:t xml:space="preserve">which would be targeted specifically to progress towards meeting the Energy Efficiency Standard in Social Housing (EESSH) on all council houses.  </w:t>
            </w:r>
            <w:r w:rsidR="00CC1FC1" w:rsidRPr="00CC1FC1">
              <w:rPr>
                <w:rFonts w:ascii="Arial" w:eastAsia="Times New Roman" w:hAnsi="Arial" w:cs="Arial"/>
                <w:color w:val="000000" w:themeColor="text1"/>
                <w:sz w:val="20"/>
                <w:szCs w:val="20"/>
              </w:rPr>
              <w:t xml:space="preserve">An example of what this investment can typically provide would be resources to </w:t>
            </w:r>
            <w:r w:rsidR="00176552" w:rsidRPr="00CC1FC1">
              <w:rPr>
                <w:rFonts w:ascii="Arial" w:eastAsia="Times New Roman" w:hAnsi="Arial" w:cs="Arial"/>
                <w:color w:val="000000" w:themeColor="text1"/>
                <w:sz w:val="20"/>
                <w:szCs w:val="20"/>
              </w:rPr>
              <w:t>provide external wall insulation for 680 houses or installation of solar panels for 550 houses.</w:t>
            </w:r>
          </w:p>
          <w:p w14:paraId="60FD7ECA" w14:textId="77777777" w:rsidR="00A56322" w:rsidRPr="00EA0B6C" w:rsidRDefault="00A56322" w:rsidP="00A56322">
            <w:pPr>
              <w:spacing w:after="0" w:line="240" w:lineRule="auto"/>
              <w:jc w:val="both"/>
              <w:rPr>
                <w:rFonts w:ascii="Arial" w:eastAsia="Times New Roman" w:hAnsi="Arial" w:cs="Arial"/>
                <w:color w:val="000000" w:themeColor="text1"/>
                <w:sz w:val="20"/>
                <w:szCs w:val="20"/>
              </w:rPr>
            </w:pPr>
          </w:p>
          <w:p w14:paraId="77F5EA3D" w14:textId="5AB7E6A5" w:rsidR="00A56322" w:rsidRPr="00EA0B6C" w:rsidRDefault="00A56322" w:rsidP="00A56322">
            <w:pPr>
              <w:spacing w:after="0" w:line="240" w:lineRule="auto"/>
              <w:jc w:val="both"/>
              <w:rPr>
                <w:rFonts w:ascii="Arial" w:eastAsia="Times New Roman" w:hAnsi="Arial" w:cs="Arial"/>
                <w:color w:val="000000" w:themeColor="text1"/>
                <w:sz w:val="20"/>
                <w:szCs w:val="20"/>
              </w:rPr>
            </w:pPr>
            <w:r w:rsidRPr="00EA0B6C">
              <w:rPr>
                <w:rFonts w:ascii="Arial" w:eastAsia="Times New Roman" w:hAnsi="Arial" w:cs="Arial"/>
                <w:color w:val="000000" w:themeColor="text1"/>
                <w:sz w:val="20"/>
                <w:szCs w:val="20"/>
              </w:rPr>
              <w:t>As well as the continuation external wall and other insulation programmes these additional resources could be spent on a range of other energy efficiency initiatives including solar panels, linkages into new district heating schemes as these come on line and piloting emerging technologies for our houses to meet the new requirements of EE</w:t>
            </w:r>
            <w:r w:rsidR="009F0624" w:rsidRPr="00EA0B6C">
              <w:rPr>
                <w:rFonts w:ascii="Arial" w:eastAsia="Times New Roman" w:hAnsi="Arial" w:cs="Arial"/>
                <w:color w:val="000000" w:themeColor="text1"/>
                <w:sz w:val="20"/>
                <w:szCs w:val="20"/>
              </w:rPr>
              <w:t>S</w:t>
            </w:r>
            <w:r w:rsidRPr="00EA0B6C">
              <w:rPr>
                <w:rFonts w:ascii="Arial" w:eastAsia="Times New Roman" w:hAnsi="Arial" w:cs="Arial"/>
                <w:color w:val="000000" w:themeColor="text1"/>
                <w:sz w:val="20"/>
                <w:szCs w:val="20"/>
              </w:rPr>
              <w:t>SH</w:t>
            </w:r>
            <w:r w:rsidR="007709C4" w:rsidRPr="00EA0B6C">
              <w:rPr>
                <w:rFonts w:ascii="Arial" w:eastAsia="Times New Roman" w:hAnsi="Arial" w:cs="Arial"/>
                <w:color w:val="000000" w:themeColor="text1"/>
                <w:sz w:val="20"/>
                <w:szCs w:val="20"/>
              </w:rPr>
              <w:t>2.</w:t>
            </w:r>
          </w:p>
          <w:p w14:paraId="6CAC4B5A" w14:textId="77777777" w:rsidR="00AB4593" w:rsidRPr="00EA0B6C" w:rsidRDefault="00AB4593" w:rsidP="00A56322">
            <w:pPr>
              <w:spacing w:after="0" w:line="240" w:lineRule="auto"/>
              <w:jc w:val="both"/>
              <w:rPr>
                <w:rFonts w:ascii="Arial" w:eastAsia="Times New Roman" w:hAnsi="Arial" w:cs="Arial"/>
                <w:color w:val="000000" w:themeColor="text1"/>
                <w:sz w:val="20"/>
                <w:szCs w:val="20"/>
              </w:rPr>
            </w:pPr>
          </w:p>
          <w:p w14:paraId="40061B2B" w14:textId="76857715" w:rsidR="00176552" w:rsidRPr="00A35FB3" w:rsidRDefault="00AA1ED7" w:rsidP="002403F3">
            <w:pPr>
              <w:spacing w:after="0" w:line="240" w:lineRule="auto"/>
              <w:jc w:val="both"/>
              <w:rPr>
                <w:rFonts w:ascii="Arial" w:eastAsia="Times New Roman" w:hAnsi="Arial" w:cs="Arial"/>
                <w:color w:val="FF0000"/>
                <w:sz w:val="20"/>
                <w:szCs w:val="20"/>
              </w:rPr>
            </w:pPr>
            <w:r w:rsidRPr="00AA1ED7">
              <w:rPr>
                <w:rFonts w:ascii="Arial" w:eastAsia="Times New Roman" w:hAnsi="Arial" w:cs="Arial"/>
                <w:sz w:val="20"/>
                <w:szCs w:val="20"/>
              </w:rPr>
              <w:t xml:space="preserve">It should be emphasised that the above expenditure would be over and above that included in the latest Housing HRA Capital Plan 2021-26.  The Council is already investing significant resources to meet these requirements </w:t>
            </w:r>
            <w:r w:rsidRPr="00AA1ED7">
              <w:rPr>
                <w:rFonts w:ascii="Arial" w:eastAsia="Times New Roman" w:hAnsi="Arial" w:cs="Arial"/>
                <w:sz w:val="20"/>
                <w:szCs w:val="20"/>
              </w:rPr>
              <w:lastRenderedPageBreak/>
              <w:t>and the above plan includes over £42m for this purpose.  The agreement of option 3 would simply increase these resources and give an opportunity for these improvements to be delivered within a shorter timeframe.</w:t>
            </w:r>
          </w:p>
        </w:tc>
      </w:tr>
    </w:tbl>
    <w:p w14:paraId="3C24D9B6" w14:textId="77777777" w:rsidR="000C229A" w:rsidRPr="00DA220F" w:rsidRDefault="000C229A" w:rsidP="00A56322">
      <w:pPr>
        <w:spacing w:after="0" w:line="240" w:lineRule="auto"/>
        <w:rPr>
          <w:rFonts w:ascii="Arial" w:eastAsia="Times New Roman" w:hAnsi="Arial" w:cs="Arial"/>
          <w:sz w:val="20"/>
          <w:szCs w:val="20"/>
        </w:rPr>
      </w:pPr>
    </w:p>
    <w:sectPr w:rsidR="000C229A" w:rsidRPr="00DA220F" w:rsidSect="00D7128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009" w:left="1440" w:header="720" w:footer="720"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41783" w14:textId="77777777" w:rsidR="00846508" w:rsidRDefault="00846508">
      <w:r>
        <w:separator/>
      </w:r>
    </w:p>
  </w:endnote>
  <w:endnote w:type="continuationSeparator" w:id="0">
    <w:p w14:paraId="0D1D2257" w14:textId="77777777" w:rsidR="00846508" w:rsidRDefault="00846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8AB7E" w14:textId="77777777" w:rsidR="00922F94" w:rsidRDefault="00922F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66D85" w14:textId="77777777" w:rsidR="00922F94" w:rsidRPr="00D475D1" w:rsidRDefault="00922F94" w:rsidP="00D475D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72615" w14:textId="77777777" w:rsidR="00922F94" w:rsidRPr="00504410" w:rsidRDefault="00922F94">
    <w:pPr>
      <w:pStyle w:val="Footer"/>
      <w:jc w:val="right"/>
      <w:rPr>
        <w:sz w:val="20"/>
        <w:szCs w:val="20"/>
      </w:rPr>
    </w:pPr>
  </w:p>
  <w:p w14:paraId="5DECC1ED" w14:textId="77777777" w:rsidR="00922F94" w:rsidRDefault="00922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6B512" w14:textId="77777777" w:rsidR="00846508" w:rsidRDefault="00846508">
      <w:r>
        <w:separator/>
      </w:r>
    </w:p>
  </w:footnote>
  <w:footnote w:type="continuationSeparator" w:id="0">
    <w:p w14:paraId="361CB344" w14:textId="77777777" w:rsidR="00846508" w:rsidRDefault="00846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4E675" w14:textId="77777777" w:rsidR="00922F94" w:rsidRDefault="00922F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29E972" w14:textId="77777777" w:rsidR="00922F94" w:rsidRDefault="00922F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D2C2E" w14:textId="77777777" w:rsidR="00922F94" w:rsidRDefault="00922F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FE49A68" w14:textId="77777777" w:rsidR="00922F94" w:rsidRDefault="00922F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9460D" w14:textId="77777777" w:rsidR="00922F94" w:rsidRPr="00492CC8" w:rsidRDefault="00922F94" w:rsidP="00492CC8">
    <w:pPr>
      <w:pStyle w:val="Header"/>
      <w:jc w:val="right"/>
      <w:rPr>
        <w:rFonts w:ascii="Arial" w:hAnsi="Arial" w:cs="Arial"/>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35ECEBC"/>
    <w:lvl w:ilvl="0">
      <w:start w:val="1"/>
      <w:numFmt w:val="decimal"/>
      <w:pStyle w:val="Heading1"/>
      <w:lvlText w:val="%1"/>
      <w:legacy w:legacy="1" w:legacySpace="0" w:legacyIndent="0"/>
      <w:lvlJc w:val="left"/>
    </w:lvl>
    <w:lvl w:ilvl="1">
      <w:start w:val="1"/>
      <w:numFmt w:val="decimal"/>
      <w:pStyle w:val="Heading2"/>
      <w:lvlText w:val="%1.%2"/>
      <w:legacy w:legacy="1" w:legacySpace="0" w:legacyIndent="0"/>
      <w:lvlJc w:val="left"/>
      <w:rPr>
        <w:sz w:val="20"/>
        <w:szCs w:val="20"/>
      </w:rPr>
    </w:lvl>
    <w:lvl w:ilvl="2">
      <w:start w:val="1"/>
      <w:numFmt w:val="lowerLetter"/>
      <w:pStyle w:val="Heading3"/>
      <w:lvlText w:val="%3"/>
      <w:legacy w:legacy="1" w:legacySpace="0" w:legacyIndent="0"/>
      <w:lvlJc w:val="left"/>
    </w:lvl>
    <w:lvl w:ilvl="3">
      <w:start w:val="1"/>
      <w:numFmt w:val="none"/>
      <w:pStyle w:val="Heading4"/>
      <w:suff w:val="nothing"/>
      <w:lvlText w:val=""/>
      <w:lvlJc w:val="left"/>
    </w:lvl>
    <w:lvl w:ilvl="4">
      <w:start w:val="1"/>
      <w:numFmt w:val="decimal"/>
      <w:pStyle w:val="Heading5"/>
      <w:lvlText w:val=".%5"/>
      <w:legacy w:legacy="1" w:legacySpace="144" w:legacyIndent="0"/>
      <w:lvlJc w:val="left"/>
    </w:lvl>
    <w:lvl w:ilvl="5">
      <w:start w:val="1"/>
      <w:numFmt w:val="decimal"/>
      <w:pStyle w:val="Heading6"/>
      <w:lvlText w:val=".%5.%6"/>
      <w:legacy w:legacy="1" w:legacySpace="144" w:legacyIndent="0"/>
      <w:lvlJc w:val="left"/>
    </w:lvl>
    <w:lvl w:ilvl="6">
      <w:start w:val="1"/>
      <w:numFmt w:val="decimal"/>
      <w:pStyle w:val="Heading7"/>
      <w:lvlText w:val=".%5.%6.%7"/>
      <w:legacy w:legacy="1" w:legacySpace="144" w:legacyIndent="0"/>
      <w:lvlJc w:val="left"/>
    </w:lvl>
    <w:lvl w:ilvl="7">
      <w:start w:val="1"/>
      <w:numFmt w:val="decimal"/>
      <w:pStyle w:val="Heading8"/>
      <w:lvlText w:val=".%5.%6.%7.%8"/>
      <w:legacy w:legacy="1" w:legacySpace="144" w:legacyIndent="0"/>
      <w:lvlJc w:val="left"/>
    </w:lvl>
    <w:lvl w:ilvl="8">
      <w:start w:val="1"/>
      <w:numFmt w:val="decimal"/>
      <w:pStyle w:val="Heading9"/>
      <w:lvlText w:val=".%5.%6.%7.%8.%9"/>
      <w:legacy w:legacy="1" w:legacySpace="144" w:legacyIndent="0"/>
      <w:lvlJc w:val="left"/>
    </w:lvl>
  </w:abstractNum>
  <w:abstractNum w:abstractNumId="1" w15:restartNumberingAfterBreak="0">
    <w:nsid w:val="094B2F26"/>
    <w:multiLevelType w:val="hybridMultilevel"/>
    <w:tmpl w:val="834C6C8C"/>
    <w:lvl w:ilvl="0" w:tplc="DB2479D6">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2939BD"/>
    <w:multiLevelType w:val="hybridMultilevel"/>
    <w:tmpl w:val="AE08FF2E"/>
    <w:lvl w:ilvl="0" w:tplc="06F09302">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22932740"/>
    <w:multiLevelType w:val="hybridMultilevel"/>
    <w:tmpl w:val="E5C2ED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4F6461"/>
    <w:multiLevelType w:val="hybridMultilevel"/>
    <w:tmpl w:val="06BA5D44"/>
    <w:lvl w:ilvl="0" w:tplc="6DFA85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123CB"/>
    <w:multiLevelType w:val="multilevel"/>
    <w:tmpl w:val="D90E6D1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7D7BBB"/>
    <w:multiLevelType w:val="hybridMultilevel"/>
    <w:tmpl w:val="0332186E"/>
    <w:lvl w:ilvl="0" w:tplc="DB2479D6">
      <w:start w:val="1"/>
      <w:numFmt w:val="lowerRoman"/>
      <w:lvlText w:val="(%1)"/>
      <w:lvlJc w:val="left"/>
      <w:pPr>
        <w:ind w:left="1320" w:hanging="360"/>
      </w:pPr>
      <w:rPr>
        <w:rFonts w:hint="default"/>
        <w:u w:val="none"/>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15:restartNumberingAfterBreak="0">
    <w:nsid w:val="2DE27092"/>
    <w:multiLevelType w:val="multilevel"/>
    <w:tmpl w:val="D0E09B46"/>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lowerLetter"/>
      <w:lvlText w:val="%4."/>
      <w:lvlJc w:val="left"/>
      <w:pPr>
        <w:tabs>
          <w:tab w:val="num" w:pos="1418"/>
        </w:tabs>
        <w:ind w:left="1418" w:hanging="567"/>
      </w:pPr>
    </w:lvl>
    <w:lvl w:ilvl="4">
      <w:start w:val="1"/>
      <w:numFmt w:val="lowerRoman"/>
      <w:lvlText w:val="%5."/>
      <w:lvlJc w:val="left"/>
      <w:pPr>
        <w:tabs>
          <w:tab w:val="num" w:pos="1418"/>
        </w:tabs>
        <w:ind w:left="1418" w:hanging="567"/>
      </w:pPr>
    </w:lvl>
    <w:lvl w:ilvl="5">
      <w:start w:val="1"/>
      <w:numFmt w:val="bullet"/>
      <w:lvlText w:val=""/>
      <w:lvlJc w:val="left"/>
      <w:pPr>
        <w:tabs>
          <w:tab w:val="num" w:pos="1418"/>
        </w:tabs>
        <w:ind w:left="1418" w:hanging="567"/>
      </w:pPr>
      <w:rPr>
        <w:rFonts w:ascii="Symbol" w:hAnsi="Symbol" w:hint="default"/>
      </w:r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30741481"/>
    <w:multiLevelType w:val="multilevel"/>
    <w:tmpl w:val="6964C0C4"/>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0"/>
        </w:tabs>
        <w:ind w:left="567" w:hanging="567"/>
      </w:pPr>
      <w:rPr>
        <w:rFonts w:hint="default"/>
        <w:color w:val="auto"/>
      </w:rPr>
    </w:lvl>
    <w:lvl w:ilvl="2">
      <w:start w:val="1"/>
      <w:numFmt w:val="lowerRoman"/>
      <w:lvlText w:val="(%3)"/>
      <w:lvlJc w:val="left"/>
      <w:pPr>
        <w:tabs>
          <w:tab w:val="num" w:pos="0"/>
        </w:tabs>
        <w:ind w:left="1134" w:hanging="567"/>
      </w:pPr>
      <w:rPr>
        <w:rFonts w:hint="default"/>
      </w:rPr>
    </w:lvl>
    <w:lvl w:ilvl="3">
      <w:start w:val="1"/>
      <w:numFmt w:val="none"/>
      <w:lvlText w:val=""/>
      <w:lvlJc w:val="left"/>
      <w:pPr>
        <w:tabs>
          <w:tab w:val="num" w:pos="0"/>
        </w:tabs>
        <w:ind w:left="1701" w:hanging="567"/>
      </w:pPr>
      <w:rPr>
        <w:rFonts w:ascii="Symbol" w:hAnsi="Symbol" w:hint="default"/>
        <w:sz w:val="20"/>
        <w:szCs w:val="20"/>
      </w:rPr>
    </w:lvl>
    <w:lvl w:ilvl="4">
      <w:start w:val="1"/>
      <w:numFmt w:val="lowerLetter"/>
      <w:lvlText w:val="(%5)"/>
      <w:lvlJc w:val="left"/>
      <w:pPr>
        <w:tabs>
          <w:tab w:val="num" w:pos="0"/>
        </w:tabs>
        <w:ind w:left="2268" w:hanging="567"/>
      </w:pPr>
      <w:rPr>
        <w:rFonts w:hint="default"/>
      </w:rPr>
    </w:lvl>
    <w:lvl w:ilvl="5">
      <w:start w:val="1"/>
      <w:numFmt w:val="none"/>
      <w:lvlText w:val=""/>
      <w:lvlJc w:val="left"/>
      <w:pPr>
        <w:tabs>
          <w:tab w:val="num" w:pos="0"/>
        </w:tabs>
        <w:ind w:left="2835" w:hanging="567"/>
      </w:pPr>
      <w:rPr>
        <w:rFonts w:ascii="Symbol" w:hAnsi="Symbol" w:hint="default"/>
        <w:sz w:val="28"/>
      </w:rPr>
    </w:lvl>
    <w:lvl w:ilvl="6">
      <w:start w:val="1"/>
      <w:numFmt w:val="decimal"/>
      <w:lvlText w:val=".%7."/>
      <w:lvlJc w:val="left"/>
      <w:pPr>
        <w:tabs>
          <w:tab w:val="num" w:pos="0"/>
        </w:tabs>
        <w:ind w:left="3915" w:hanging="1080"/>
      </w:pPr>
      <w:rPr>
        <w:rFonts w:hint="default"/>
      </w:rPr>
    </w:lvl>
    <w:lvl w:ilvl="7">
      <w:start w:val="1"/>
      <w:numFmt w:val="decimal"/>
      <w:lvlText w:val=".%7.%8."/>
      <w:lvlJc w:val="left"/>
      <w:pPr>
        <w:tabs>
          <w:tab w:val="num" w:pos="0"/>
        </w:tabs>
        <w:ind w:left="5139" w:hanging="1224"/>
      </w:pPr>
      <w:rPr>
        <w:rFonts w:hint="default"/>
      </w:rPr>
    </w:lvl>
    <w:lvl w:ilvl="8">
      <w:start w:val="1"/>
      <w:numFmt w:val="decimal"/>
      <w:lvlText w:val=".%7.%8.%9."/>
      <w:lvlJc w:val="left"/>
      <w:pPr>
        <w:tabs>
          <w:tab w:val="num" w:pos="0"/>
        </w:tabs>
        <w:ind w:left="6579" w:hanging="1440"/>
      </w:pPr>
      <w:rPr>
        <w:rFonts w:hint="default"/>
      </w:rPr>
    </w:lvl>
  </w:abstractNum>
  <w:abstractNum w:abstractNumId="9" w15:restartNumberingAfterBreak="0">
    <w:nsid w:val="33C834C8"/>
    <w:multiLevelType w:val="hybridMultilevel"/>
    <w:tmpl w:val="31F4E7EA"/>
    <w:lvl w:ilvl="0" w:tplc="06F09302">
      <w:start w:val="1"/>
      <w:numFmt w:val="bullet"/>
      <w:lvlText w:val=""/>
      <w:lvlJc w:val="left"/>
      <w:pPr>
        <w:ind w:left="720" w:hanging="360"/>
      </w:pPr>
      <w:rPr>
        <w:rFonts w:ascii="Symbol" w:hAnsi="Symbol" w:hint="default"/>
      </w:rPr>
    </w:lvl>
    <w:lvl w:ilvl="1" w:tplc="06F0930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B020B4"/>
    <w:multiLevelType w:val="multilevel"/>
    <w:tmpl w:val="638660A4"/>
    <w:lvl w:ilvl="0">
      <w:start w:val="9"/>
      <w:numFmt w:val="decimal"/>
      <w:lvlText w:val="%1"/>
      <w:lvlJc w:val="left"/>
      <w:pPr>
        <w:ind w:left="360" w:hanging="360"/>
      </w:pPr>
      <w:rPr>
        <w:rFonts w:hint="default"/>
        <w:b w:val="0"/>
        <w:color w:val="000000" w:themeColor="text1"/>
      </w:rPr>
    </w:lvl>
    <w:lvl w:ilvl="1">
      <w:start w:val="2"/>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b w:val="0"/>
        <w:color w:val="000000" w:themeColor="text1"/>
      </w:rPr>
    </w:lvl>
    <w:lvl w:ilvl="4">
      <w:start w:val="1"/>
      <w:numFmt w:val="decimal"/>
      <w:lvlText w:val="%1.%2.%3.%4.%5"/>
      <w:lvlJc w:val="left"/>
      <w:pPr>
        <w:ind w:left="1080" w:hanging="1080"/>
      </w:pPr>
      <w:rPr>
        <w:rFonts w:hint="default"/>
        <w:b w:val="0"/>
        <w:color w:val="000000" w:themeColor="text1"/>
      </w:rPr>
    </w:lvl>
    <w:lvl w:ilvl="5">
      <w:start w:val="1"/>
      <w:numFmt w:val="decimal"/>
      <w:lvlText w:val="%1.%2.%3.%4.%5.%6"/>
      <w:lvlJc w:val="left"/>
      <w:pPr>
        <w:ind w:left="1080" w:hanging="1080"/>
      </w:pPr>
      <w:rPr>
        <w:rFonts w:hint="default"/>
        <w:b w:val="0"/>
        <w:color w:val="000000" w:themeColor="text1"/>
      </w:rPr>
    </w:lvl>
    <w:lvl w:ilvl="6">
      <w:start w:val="1"/>
      <w:numFmt w:val="decimal"/>
      <w:lvlText w:val="%1.%2.%3.%4.%5.%6.%7"/>
      <w:lvlJc w:val="left"/>
      <w:pPr>
        <w:ind w:left="1440" w:hanging="1440"/>
      </w:pPr>
      <w:rPr>
        <w:rFonts w:hint="default"/>
        <w:b w:val="0"/>
        <w:color w:val="000000" w:themeColor="text1"/>
      </w:rPr>
    </w:lvl>
    <w:lvl w:ilvl="7">
      <w:start w:val="1"/>
      <w:numFmt w:val="decimal"/>
      <w:lvlText w:val="%1.%2.%3.%4.%5.%6.%7.%8"/>
      <w:lvlJc w:val="left"/>
      <w:pPr>
        <w:ind w:left="1440" w:hanging="1440"/>
      </w:pPr>
      <w:rPr>
        <w:rFonts w:hint="default"/>
        <w:b w:val="0"/>
        <w:color w:val="000000" w:themeColor="text1"/>
      </w:rPr>
    </w:lvl>
    <w:lvl w:ilvl="8">
      <w:start w:val="1"/>
      <w:numFmt w:val="decimal"/>
      <w:lvlText w:val="%1.%2.%3.%4.%5.%6.%7.%8.%9"/>
      <w:lvlJc w:val="left"/>
      <w:pPr>
        <w:ind w:left="1800" w:hanging="1800"/>
      </w:pPr>
      <w:rPr>
        <w:rFonts w:hint="default"/>
        <w:b w:val="0"/>
        <w:color w:val="000000" w:themeColor="text1"/>
      </w:rPr>
    </w:lvl>
  </w:abstractNum>
  <w:abstractNum w:abstractNumId="11" w15:restartNumberingAfterBreak="0">
    <w:nsid w:val="3E39511A"/>
    <w:multiLevelType w:val="multilevel"/>
    <w:tmpl w:val="2BBADBA8"/>
    <w:lvl w:ilvl="0">
      <w:start w:val="5"/>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45C4A59"/>
    <w:multiLevelType w:val="hybridMultilevel"/>
    <w:tmpl w:val="DBAC01B0"/>
    <w:lvl w:ilvl="0" w:tplc="06F0930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1E7F5A"/>
    <w:multiLevelType w:val="hybridMultilevel"/>
    <w:tmpl w:val="5F8AC30C"/>
    <w:lvl w:ilvl="0" w:tplc="965E15D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B20F3D"/>
    <w:multiLevelType w:val="hybridMultilevel"/>
    <w:tmpl w:val="D78E0384"/>
    <w:lvl w:ilvl="0" w:tplc="DB2479D6">
      <w:start w:val="1"/>
      <w:numFmt w:val="lowerRoman"/>
      <w:lvlText w:val="(%1)"/>
      <w:lvlJc w:val="left"/>
      <w:pPr>
        <w:ind w:left="1800" w:hanging="36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5C7D62DB"/>
    <w:multiLevelType w:val="multilevel"/>
    <w:tmpl w:val="FFB68954"/>
    <w:styleLink w:val="Autonumbers"/>
    <w:lvl w:ilvl="0">
      <w:start w:val="1"/>
      <w:numFmt w:val="decimal"/>
      <w:lvlText w:val="%1."/>
      <w:lvlJc w:val="left"/>
      <w:pPr>
        <w:ind w:left="850" w:hanging="850"/>
      </w:pPr>
      <w:rPr>
        <w:rFonts w:ascii="Arial" w:hAnsi="Arial" w:hint="default"/>
        <w:sz w:val="22"/>
      </w:rPr>
    </w:lvl>
    <w:lvl w:ilvl="1">
      <w:start w:val="1"/>
      <w:numFmt w:val="decimal"/>
      <w:lvlRestart w:val="0"/>
      <w:lvlText w:val="%2.1"/>
      <w:lvlJc w:val="left"/>
      <w:pPr>
        <w:ind w:left="850" w:hanging="850"/>
      </w:pPr>
      <w:rPr>
        <w:rFonts w:hint="default"/>
      </w:rPr>
    </w:lvl>
    <w:lvl w:ilvl="2">
      <w:start w:val="1"/>
      <w:numFmt w:val="decimal"/>
      <w:lvlRestart w:val="0"/>
      <w:lvlText w:val="%3.1.1"/>
      <w:lvlJc w:val="left"/>
      <w:pPr>
        <w:ind w:left="850" w:hanging="850"/>
      </w:pPr>
      <w:rPr>
        <w:rFonts w:hint="default"/>
      </w:rPr>
    </w:lvl>
    <w:lvl w:ilvl="3">
      <w:start w:val="1"/>
      <w:numFmt w:val="lowerRoman"/>
      <w:lvlRestart w:val="0"/>
      <w:lvlText w:val="%4."/>
      <w:lvlJc w:val="left"/>
      <w:pPr>
        <w:ind w:left="1440" w:hanging="590"/>
      </w:pPr>
      <w:rPr>
        <w:rFonts w:hint="default"/>
      </w:rPr>
    </w:lvl>
    <w:lvl w:ilvl="4">
      <w:start w:val="1"/>
      <w:numFmt w:val="lowerLetter"/>
      <w:lvlRestart w:val="0"/>
      <w:lvlText w:val="%5."/>
      <w:lvlJc w:val="left"/>
      <w:pPr>
        <w:ind w:left="1440" w:hanging="590"/>
      </w:pPr>
      <w:rPr>
        <w:rFonts w:hint="default"/>
      </w:rPr>
    </w:lvl>
    <w:lvl w:ilvl="5">
      <w:start w:val="1"/>
      <w:numFmt w:val="bullet"/>
      <w:lvlRestart w:val="0"/>
      <w:lvlText w:val=""/>
      <w:lvlJc w:val="left"/>
      <w:pPr>
        <w:ind w:left="1440" w:hanging="59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FE944E8"/>
    <w:multiLevelType w:val="hybridMultilevel"/>
    <w:tmpl w:val="44584240"/>
    <w:lvl w:ilvl="0" w:tplc="C8F26F2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FB3E6E"/>
    <w:multiLevelType w:val="multilevel"/>
    <w:tmpl w:val="F0686548"/>
    <w:lvl w:ilvl="0">
      <w:start w:val="3"/>
      <w:numFmt w:val="decimal"/>
      <w:lvlText w:val="%1."/>
      <w:lvlJc w:val="left"/>
      <w:pPr>
        <w:ind w:left="360" w:hanging="360"/>
      </w:pPr>
      <w:rPr>
        <w:rFonts w:ascii="Arial" w:hAnsi="Arial" w:cs="Arial" w:hint="default"/>
        <w:sz w:val="20"/>
      </w:rPr>
    </w:lvl>
    <w:lvl w:ilvl="1">
      <w:start w:val="1"/>
      <w:numFmt w:val="decimal"/>
      <w:lvlText w:val="%1.%2."/>
      <w:lvlJc w:val="left"/>
      <w:pPr>
        <w:ind w:left="792" w:hanging="432"/>
      </w:pPr>
      <w:rPr>
        <w:rFonts w:ascii="Arial" w:hAnsi="Arial" w:cs="Arial"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09E2A4D"/>
    <w:multiLevelType w:val="multilevel"/>
    <w:tmpl w:val="0F5A2EC8"/>
    <w:lvl w:ilvl="0">
      <w:start w:val="9"/>
      <w:numFmt w:val="decimal"/>
      <w:lvlText w:val="%1"/>
      <w:lvlJc w:val="left"/>
      <w:pPr>
        <w:ind w:left="360" w:hanging="360"/>
      </w:pPr>
      <w:rPr>
        <w:rFonts w:hint="default"/>
        <w:b w:val="0"/>
        <w:color w:val="000000" w:themeColor="text1"/>
      </w:rPr>
    </w:lvl>
    <w:lvl w:ilvl="1">
      <w:start w:val="4"/>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b w:val="0"/>
        <w:color w:val="000000" w:themeColor="text1"/>
      </w:rPr>
    </w:lvl>
    <w:lvl w:ilvl="4">
      <w:start w:val="1"/>
      <w:numFmt w:val="decimal"/>
      <w:lvlText w:val="%1.%2.%3.%4.%5"/>
      <w:lvlJc w:val="left"/>
      <w:pPr>
        <w:ind w:left="1080" w:hanging="1080"/>
      </w:pPr>
      <w:rPr>
        <w:rFonts w:hint="default"/>
        <w:b w:val="0"/>
        <w:color w:val="000000" w:themeColor="text1"/>
      </w:rPr>
    </w:lvl>
    <w:lvl w:ilvl="5">
      <w:start w:val="1"/>
      <w:numFmt w:val="decimal"/>
      <w:lvlText w:val="%1.%2.%3.%4.%5.%6"/>
      <w:lvlJc w:val="left"/>
      <w:pPr>
        <w:ind w:left="1080" w:hanging="1080"/>
      </w:pPr>
      <w:rPr>
        <w:rFonts w:hint="default"/>
        <w:b w:val="0"/>
        <w:color w:val="000000" w:themeColor="text1"/>
      </w:rPr>
    </w:lvl>
    <w:lvl w:ilvl="6">
      <w:start w:val="1"/>
      <w:numFmt w:val="decimal"/>
      <w:lvlText w:val="%1.%2.%3.%4.%5.%6.%7"/>
      <w:lvlJc w:val="left"/>
      <w:pPr>
        <w:ind w:left="1440" w:hanging="1440"/>
      </w:pPr>
      <w:rPr>
        <w:rFonts w:hint="default"/>
        <w:b w:val="0"/>
        <w:color w:val="000000" w:themeColor="text1"/>
      </w:rPr>
    </w:lvl>
    <w:lvl w:ilvl="7">
      <w:start w:val="1"/>
      <w:numFmt w:val="decimal"/>
      <w:lvlText w:val="%1.%2.%3.%4.%5.%6.%7.%8"/>
      <w:lvlJc w:val="left"/>
      <w:pPr>
        <w:ind w:left="1440" w:hanging="1440"/>
      </w:pPr>
      <w:rPr>
        <w:rFonts w:hint="default"/>
        <w:b w:val="0"/>
        <w:color w:val="000000" w:themeColor="text1"/>
      </w:rPr>
    </w:lvl>
    <w:lvl w:ilvl="8">
      <w:start w:val="1"/>
      <w:numFmt w:val="decimal"/>
      <w:lvlText w:val="%1.%2.%3.%4.%5.%6.%7.%8.%9"/>
      <w:lvlJc w:val="left"/>
      <w:pPr>
        <w:ind w:left="1800" w:hanging="1800"/>
      </w:pPr>
      <w:rPr>
        <w:rFonts w:hint="default"/>
        <w:b w:val="0"/>
        <w:color w:val="000000" w:themeColor="text1"/>
      </w:rPr>
    </w:lvl>
  </w:abstractNum>
  <w:abstractNum w:abstractNumId="19" w15:restartNumberingAfterBreak="0">
    <w:nsid w:val="743735C0"/>
    <w:multiLevelType w:val="hybridMultilevel"/>
    <w:tmpl w:val="834C6C8C"/>
    <w:lvl w:ilvl="0" w:tplc="DB2479D6">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78F72E0"/>
    <w:multiLevelType w:val="hybridMultilevel"/>
    <w:tmpl w:val="73C6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D4788A"/>
    <w:multiLevelType w:val="hybridMultilevel"/>
    <w:tmpl w:val="434E79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5"/>
  </w:num>
  <w:num w:numId="3">
    <w:abstractNumId w:val="8"/>
  </w:num>
  <w:num w:numId="4">
    <w:abstractNumId w:val="17"/>
  </w:num>
  <w:num w:numId="5">
    <w:abstractNumId w:val="5"/>
  </w:num>
  <w:num w:numId="6">
    <w:abstractNumId w:val="3"/>
  </w:num>
  <w:num w:numId="7">
    <w:abstractNumId w:val="11"/>
  </w:num>
  <w:num w:numId="8">
    <w:abstractNumId w:val="1"/>
  </w:num>
  <w:num w:numId="9">
    <w:abstractNumId w:val="19"/>
  </w:num>
  <w:num w:numId="10">
    <w:abstractNumId w:val="21"/>
  </w:num>
  <w:num w:numId="11">
    <w:abstractNumId w:val="14"/>
  </w:num>
  <w:num w:numId="12">
    <w:abstractNumId w:val="6"/>
  </w:num>
  <w:num w:numId="13">
    <w:abstractNumId w:val="16"/>
  </w:num>
  <w:num w:numId="14">
    <w:abstractNumId w:val="0"/>
  </w:num>
  <w:num w:numId="15">
    <w:abstractNumId w:val="10"/>
  </w:num>
  <w:num w:numId="16">
    <w:abstractNumId w:val="18"/>
  </w:num>
  <w:num w:numId="17">
    <w:abstractNumId w:val="20"/>
  </w:num>
  <w:num w:numId="18">
    <w:abstractNumId w:val="4"/>
  </w:num>
  <w:num w:numId="19">
    <w:abstractNumId w:val="12"/>
  </w:num>
  <w:num w:numId="20">
    <w:abstractNumId w:val="9"/>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312"/>
    <w:rsid w:val="000115D0"/>
    <w:rsid w:val="000123FC"/>
    <w:rsid w:val="000154B7"/>
    <w:rsid w:val="00020CE9"/>
    <w:rsid w:val="00027709"/>
    <w:rsid w:val="00027E9D"/>
    <w:rsid w:val="00034834"/>
    <w:rsid w:val="00034E83"/>
    <w:rsid w:val="000401F9"/>
    <w:rsid w:val="0004381D"/>
    <w:rsid w:val="00044A70"/>
    <w:rsid w:val="00055806"/>
    <w:rsid w:val="00057840"/>
    <w:rsid w:val="00061415"/>
    <w:rsid w:val="0006217B"/>
    <w:rsid w:val="00083992"/>
    <w:rsid w:val="00094D5E"/>
    <w:rsid w:val="000A7C8D"/>
    <w:rsid w:val="000A7DA5"/>
    <w:rsid w:val="000B13AC"/>
    <w:rsid w:val="000C229A"/>
    <w:rsid w:val="000C4B5B"/>
    <w:rsid w:val="000D2030"/>
    <w:rsid w:val="000D482E"/>
    <w:rsid w:val="000D57BD"/>
    <w:rsid w:val="000D6300"/>
    <w:rsid w:val="000E229D"/>
    <w:rsid w:val="000E484B"/>
    <w:rsid w:val="000E7B69"/>
    <w:rsid w:val="000F15A8"/>
    <w:rsid w:val="001026A2"/>
    <w:rsid w:val="00104007"/>
    <w:rsid w:val="001047A2"/>
    <w:rsid w:val="0011364C"/>
    <w:rsid w:val="001136B6"/>
    <w:rsid w:val="00114933"/>
    <w:rsid w:val="00120711"/>
    <w:rsid w:val="00124FE9"/>
    <w:rsid w:val="00125FE3"/>
    <w:rsid w:val="001300F4"/>
    <w:rsid w:val="00140098"/>
    <w:rsid w:val="00141E39"/>
    <w:rsid w:val="00151EE1"/>
    <w:rsid w:val="001571DA"/>
    <w:rsid w:val="001657EE"/>
    <w:rsid w:val="00167C5D"/>
    <w:rsid w:val="00167CB1"/>
    <w:rsid w:val="00173FEA"/>
    <w:rsid w:val="00176552"/>
    <w:rsid w:val="0018181D"/>
    <w:rsid w:val="00182029"/>
    <w:rsid w:val="00183DFB"/>
    <w:rsid w:val="001850FB"/>
    <w:rsid w:val="00191D12"/>
    <w:rsid w:val="00192CF7"/>
    <w:rsid w:val="001A075E"/>
    <w:rsid w:val="001A4C5A"/>
    <w:rsid w:val="001A6C46"/>
    <w:rsid w:val="001B2A00"/>
    <w:rsid w:val="001B2F07"/>
    <w:rsid w:val="001B60DF"/>
    <w:rsid w:val="001C19DB"/>
    <w:rsid w:val="001C391F"/>
    <w:rsid w:val="001C3D51"/>
    <w:rsid w:val="001C54A3"/>
    <w:rsid w:val="001C6466"/>
    <w:rsid w:val="001D17C7"/>
    <w:rsid w:val="001D48BC"/>
    <w:rsid w:val="00203599"/>
    <w:rsid w:val="00212B81"/>
    <w:rsid w:val="00217DE6"/>
    <w:rsid w:val="0022032F"/>
    <w:rsid w:val="00220994"/>
    <w:rsid w:val="002212C4"/>
    <w:rsid w:val="002274BB"/>
    <w:rsid w:val="002350AA"/>
    <w:rsid w:val="00236104"/>
    <w:rsid w:val="002403F3"/>
    <w:rsid w:val="00240BF6"/>
    <w:rsid w:val="0024131E"/>
    <w:rsid w:val="002417AE"/>
    <w:rsid w:val="00266609"/>
    <w:rsid w:val="00273C62"/>
    <w:rsid w:val="00280FC5"/>
    <w:rsid w:val="00284CAF"/>
    <w:rsid w:val="00285CBA"/>
    <w:rsid w:val="00287E16"/>
    <w:rsid w:val="00291E70"/>
    <w:rsid w:val="002959D3"/>
    <w:rsid w:val="00295EC7"/>
    <w:rsid w:val="002A6FFB"/>
    <w:rsid w:val="002A780F"/>
    <w:rsid w:val="002B1789"/>
    <w:rsid w:val="002B489C"/>
    <w:rsid w:val="002C0566"/>
    <w:rsid w:val="002C4910"/>
    <w:rsid w:val="002C731D"/>
    <w:rsid w:val="002D0678"/>
    <w:rsid w:val="002F17B9"/>
    <w:rsid w:val="003065D2"/>
    <w:rsid w:val="00315F21"/>
    <w:rsid w:val="003225F6"/>
    <w:rsid w:val="003437F9"/>
    <w:rsid w:val="00346113"/>
    <w:rsid w:val="00346163"/>
    <w:rsid w:val="0035421D"/>
    <w:rsid w:val="0035504A"/>
    <w:rsid w:val="00363A1E"/>
    <w:rsid w:val="003674DF"/>
    <w:rsid w:val="003825E5"/>
    <w:rsid w:val="00385EC8"/>
    <w:rsid w:val="00394402"/>
    <w:rsid w:val="003A0F66"/>
    <w:rsid w:val="003A40D5"/>
    <w:rsid w:val="003A5B98"/>
    <w:rsid w:val="003B0165"/>
    <w:rsid w:val="003B7356"/>
    <w:rsid w:val="003C03F9"/>
    <w:rsid w:val="003C1978"/>
    <w:rsid w:val="003C3367"/>
    <w:rsid w:val="003D2722"/>
    <w:rsid w:val="003D2DF1"/>
    <w:rsid w:val="003D721C"/>
    <w:rsid w:val="003E1C79"/>
    <w:rsid w:val="003E3319"/>
    <w:rsid w:val="003F5ED9"/>
    <w:rsid w:val="00403480"/>
    <w:rsid w:val="004128B4"/>
    <w:rsid w:val="00420999"/>
    <w:rsid w:val="00422FE7"/>
    <w:rsid w:val="00425749"/>
    <w:rsid w:val="00440215"/>
    <w:rsid w:val="00441D26"/>
    <w:rsid w:val="00442024"/>
    <w:rsid w:val="0044310D"/>
    <w:rsid w:val="004505EE"/>
    <w:rsid w:val="00450B53"/>
    <w:rsid w:val="00450D30"/>
    <w:rsid w:val="00457449"/>
    <w:rsid w:val="004607E8"/>
    <w:rsid w:val="0046211E"/>
    <w:rsid w:val="00462FF4"/>
    <w:rsid w:val="004647BF"/>
    <w:rsid w:val="0046596D"/>
    <w:rsid w:val="00465C0B"/>
    <w:rsid w:val="00470191"/>
    <w:rsid w:val="0048005F"/>
    <w:rsid w:val="00490B9F"/>
    <w:rsid w:val="00492939"/>
    <w:rsid w:val="00492CC8"/>
    <w:rsid w:val="00493DE8"/>
    <w:rsid w:val="00497D22"/>
    <w:rsid w:val="004A27EE"/>
    <w:rsid w:val="004A52D7"/>
    <w:rsid w:val="004B4B76"/>
    <w:rsid w:val="004C255F"/>
    <w:rsid w:val="004C3B79"/>
    <w:rsid w:val="004C3D88"/>
    <w:rsid w:val="004E1000"/>
    <w:rsid w:val="004E24BF"/>
    <w:rsid w:val="00504410"/>
    <w:rsid w:val="0051027C"/>
    <w:rsid w:val="00510CA8"/>
    <w:rsid w:val="005122CC"/>
    <w:rsid w:val="00515C50"/>
    <w:rsid w:val="00515F67"/>
    <w:rsid w:val="00523012"/>
    <w:rsid w:val="00525315"/>
    <w:rsid w:val="00530D83"/>
    <w:rsid w:val="00531FC8"/>
    <w:rsid w:val="00536804"/>
    <w:rsid w:val="00540E7D"/>
    <w:rsid w:val="005450A7"/>
    <w:rsid w:val="00545970"/>
    <w:rsid w:val="005507D1"/>
    <w:rsid w:val="0055170B"/>
    <w:rsid w:val="00552995"/>
    <w:rsid w:val="0055398E"/>
    <w:rsid w:val="00553CE4"/>
    <w:rsid w:val="005571BA"/>
    <w:rsid w:val="00565359"/>
    <w:rsid w:val="005779B6"/>
    <w:rsid w:val="00581A4F"/>
    <w:rsid w:val="005911A7"/>
    <w:rsid w:val="00594A97"/>
    <w:rsid w:val="005A4FB1"/>
    <w:rsid w:val="005A561E"/>
    <w:rsid w:val="005B0D7C"/>
    <w:rsid w:val="005B15E5"/>
    <w:rsid w:val="005B368B"/>
    <w:rsid w:val="005C0D12"/>
    <w:rsid w:val="005C3964"/>
    <w:rsid w:val="005C713A"/>
    <w:rsid w:val="005D1EC7"/>
    <w:rsid w:val="005D242B"/>
    <w:rsid w:val="005D658F"/>
    <w:rsid w:val="005E1958"/>
    <w:rsid w:val="005E70C2"/>
    <w:rsid w:val="005F7F59"/>
    <w:rsid w:val="006000D1"/>
    <w:rsid w:val="006015E5"/>
    <w:rsid w:val="006112F2"/>
    <w:rsid w:val="00614D1E"/>
    <w:rsid w:val="00630FDE"/>
    <w:rsid w:val="00631BF0"/>
    <w:rsid w:val="00641850"/>
    <w:rsid w:val="00645478"/>
    <w:rsid w:val="00650A8E"/>
    <w:rsid w:val="0065114D"/>
    <w:rsid w:val="00651D95"/>
    <w:rsid w:val="0065718C"/>
    <w:rsid w:val="00671AEA"/>
    <w:rsid w:val="00674AA6"/>
    <w:rsid w:val="006865EB"/>
    <w:rsid w:val="00690B6F"/>
    <w:rsid w:val="00692120"/>
    <w:rsid w:val="00692282"/>
    <w:rsid w:val="006A255C"/>
    <w:rsid w:val="006A58A8"/>
    <w:rsid w:val="006B275B"/>
    <w:rsid w:val="006B373D"/>
    <w:rsid w:val="006B7B32"/>
    <w:rsid w:val="006B7E45"/>
    <w:rsid w:val="006C23F8"/>
    <w:rsid w:val="006C43F8"/>
    <w:rsid w:val="006C6E7E"/>
    <w:rsid w:val="006D0B14"/>
    <w:rsid w:val="006E2CF3"/>
    <w:rsid w:val="006E45C8"/>
    <w:rsid w:val="006E5600"/>
    <w:rsid w:val="006E666B"/>
    <w:rsid w:val="006F12FD"/>
    <w:rsid w:val="006F46C6"/>
    <w:rsid w:val="006F69E9"/>
    <w:rsid w:val="006F7EE4"/>
    <w:rsid w:val="00703CB8"/>
    <w:rsid w:val="00713AE5"/>
    <w:rsid w:val="007147ED"/>
    <w:rsid w:val="0073216D"/>
    <w:rsid w:val="00740971"/>
    <w:rsid w:val="00750AFA"/>
    <w:rsid w:val="00754215"/>
    <w:rsid w:val="007565B9"/>
    <w:rsid w:val="00765F92"/>
    <w:rsid w:val="007663D0"/>
    <w:rsid w:val="00766E6B"/>
    <w:rsid w:val="00770251"/>
    <w:rsid w:val="007709C4"/>
    <w:rsid w:val="00773F9D"/>
    <w:rsid w:val="00783927"/>
    <w:rsid w:val="00784393"/>
    <w:rsid w:val="0078595E"/>
    <w:rsid w:val="00786DAE"/>
    <w:rsid w:val="00791C3B"/>
    <w:rsid w:val="0079674E"/>
    <w:rsid w:val="007A6C6D"/>
    <w:rsid w:val="007B5D16"/>
    <w:rsid w:val="007C30A0"/>
    <w:rsid w:val="007C72AF"/>
    <w:rsid w:val="007D4902"/>
    <w:rsid w:val="007D6E05"/>
    <w:rsid w:val="007E0D21"/>
    <w:rsid w:val="007E23EA"/>
    <w:rsid w:val="007E34C6"/>
    <w:rsid w:val="007F0B76"/>
    <w:rsid w:val="007F23F8"/>
    <w:rsid w:val="007F2BFE"/>
    <w:rsid w:val="00800B6E"/>
    <w:rsid w:val="00805461"/>
    <w:rsid w:val="00806787"/>
    <w:rsid w:val="00810ECF"/>
    <w:rsid w:val="00812B8F"/>
    <w:rsid w:val="00816573"/>
    <w:rsid w:val="00820CDE"/>
    <w:rsid w:val="008222C5"/>
    <w:rsid w:val="008254DC"/>
    <w:rsid w:val="00826B4B"/>
    <w:rsid w:val="00827267"/>
    <w:rsid w:val="00830B6B"/>
    <w:rsid w:val="00830BA0"/>
    <w:rsid w:val="00842261"/>
    <w:rsid w:val="00846074"/>
    <w:rsid w:val="00846508"/>
    <w:rsid w:val="00846E4B"/>
    <w:rsid w:val="00853881"/>
    <w:rsid w:val="0086294E"/>
    <w:rsid w:val="00864BBA"/>
    <w:rsid w:val="00865B4D"/>
    <w:rsid w:val="0086626E"/>
    <w:rsid w:val="00866395"/>
    <w:rsid w:val="00870162"/>
    <w:rsid w:val="0087561E"/>
    <w:rsid w:val="0087688E"/>
    <w:rsid w:val="0088237A"/>
    <w:rsid w:val="00883EA1"/>
    <w:rsid w:val="00890BA1"/>
    <w:rsid w:val="0089447F"/>
    <w:rsid w:val="008A056C"/>
    <w:rsid w:val="008A4FD0"/>
    <w:rsid w:val="008B18F4"/>
    <w:rsid w:val="008B55E7"/>
    <w:rsid w:val="008C09FD"/>
    <w:rsid w:val="008C1A01"/>
    <w:rsid w:val="008D4F84"/>
    <w:rsid w:val="008D5BC3"/>
    <w:rsid w:val="008E0728"/>
    <w:rsid w:val="008E182A"/>
    <w:rsid w:val="008E4654"/>
    <w:rsid w:val="008E7102"/>
    <w:rsid w:val="008F2D64"/>
    <w:rsid w:val="008F63F5"/>
    <w:rsid w:val="009012A3"/>
    <w:rsid w:val="00904DEF"/>
    <w:rsid w:val="0091128A"/>
    <w:rsid w:val="00912A5A"/>
    <w:rsid w:val="00915BD4"/>
    <w:rsid w:val="00922F94"/>
    <w:rsid w:val="00923F6D"/>
    <w:rsid w:val="00925AAC"/>
    <w:rsid w:val="0092762C"/>
    <w:rsid w:val="0092794B"/>
    <w:rsid w:val="00931847"/>
    <w:rsid w:val="009364D3"/>
    <w:rsid w:val="00936CF5"/>
    <w:rsid w:val="009472FF"/>
    <w:rsid w:val="00957800"/>
    <w:rsid w:val="00957DF3"/>
    <w:rsid w:val="00960CA6"/>
    <w:rsid w:val="009679A5"/>
    <w:rsid w:val="009752A4"/>
    <w:rsid w:val="00986579"/>
    <w:rsid w:val="00986A86"/>
    <w:rsid w:val="00992680"/>
    <w:rsid w:val="00993654"/>
    <w:rsid w:val="009950AE"/>
    <w:rsid w:val="00996639"/>
    <w:rsid w:val="00997FBD"/>
    <w:rsid w:val="009A4885"/>
    <w:rsid w:val="009B2C70"/>
    <w:rsid w:val="009B3937"/>
    <w:rsid w:val="009C10E6"/>
    <w:rsid w:val="009C1455"/>
    <w:rsid w:val="009C6578"/>
    <w:rsid w:val="009C695A"/>
    <w:rsid w:val="009C737F"/>
    <w:rsid w:val="009E0573"/>
    <w:rsid w:val="009E4D3E"/>
    <w:rsid w:val="009E519F"/>
    <w:rsid w:val="009F0624"/>
    <w:rsid w:val="009F2856"/>
    <w:rsid w:val="009F306C"/>
    <w:rsid w:val="009F5D6F"/>
    <w:rsid w:val="009F5EEF"/>
    <w:rsid w:val="00A000B0"/>
    <w:rsid w:val="00A04EFF"/>
    <w:rsid w:val="00A0703F"/>
    <w:rsid w:val="00A1333C"/>
    <w:rsid w:val="00A141AC"/>
    <w:rsid w:val="00A208E4"/>
    <w:rsid w:val="00A209DC"/>
    <w:rsid w:val="00A20E53"/>
    <w:rsid w:val="00A32361"/>
    <w:rsid w:val="00A35FB3"/>
    <w:rsid w:val="00A3654E"/>
    <w:rsid w:val="00A37254"/>
    <w:rsid w:val="00A45686"/>
    <w:rsid w:val="00A51DB1"/>
    <w:rsid w:val="00A53383"/>
    <w:rsid w:val="00A56322"/>
    <w:rsid w:val="00A56C65"/>
    <w:rsid w:val="00A6180C"/>
    <w:rsid w:val="00A65F16"/>
    <w:rsid w:val="00A67F0F"/>
    <w:rsid w:val="00A77E05"/>
    <w:rsid w:val="00A8046D"/>
    <w:rsid w:val="00A8455C"/>
    <w:rsid w:val="00A84BAC"/>
    <w:rsid w:val="00A866A5"/>
    <w:rsid w:val="00A90348"/>
    <w:rsid w:val="00A92F86"/>
    <w:rsid w:val="00AA1ED7"/>
    <w:rsid w:val="00AA77DA"/>
    <w:rsid w:val="00AB4593"/>
    <w:rsid w:val="00AC7EAA"/>
    <w:rsid w:val="00AD76B8"/>
    <w:rsid w:val="00AE3171"/>
    <w:rsid w:val="00AE44D4"/>
    <w:rsid w:val="00B02476"/>
    <w:rsid w:val="00B05329"/>
    <w:rsid w:val="00B107AB"/>
    <w:rsid w:val="00B24999"/>
    <w:rsid w:val="00B3675C"/>
    <w:rsid w:val="00B42F59"/>
    <w:rsid w:val="00B52FCF"/>
    <w:rsid w:val="00B569D5"/>
    <w:rsid w:val="00B57173"/>
    <w:rsid w:val="00B802E0"/>
    <w:rsid w:val="00B90D5A"/>
    <w:rsid w:val="00B91AFB"/>
    <w:rsid w:val="00B97A8F"/>
    <w:rsid w:val="00BA06A8"/>
    <w:rsid w:val="00BA6B11"/>
    <w:rsid w:val="00BB11E7"/>
    <w:rsid w:val="00BB756D"/>
    <w:rsid w:val="00BC12A4"/>
    <w:rsid w:val="00BD4DAA"/>
    <w:rsid w:val="00BD4DFA"/>
    <w:rsid w:val="00BD62D0"/>
    <w:rsid w:val="00BD6545"/>
    <w:rsid w:val="00BE61EB"/>
    <w:rsid w:val="00BF2D95"/>
    <w:rsid w:val="00BF39E0"/>
    <w:rsid w:val="00C14E09"/>
    <w:rsid w:val="00C158D9"/>
    <w:rsid w:val="00C16383"/>
    <w:rsid w:val="00C17E00"/>
    <w:rsid w:val="00C228B7"/>
    <w:rsid w:val="00C27DC7"/>
    <w:rsid w:val="00C326F1"/>
    <w:rsid w:val="00C35D59"/>
    <w:rsid w:val="00C37995"/>
    <w:rsid w:val="00C45A3B"/>
    <w:rsid w:val="00C47ABB"/>
    <w:rsid w:val="00C52AC2"/>
    <w:rsid w:val="00C7281B"/>
    <w:rsid w:val="00C76750"/>
    <w:rsid w:val="00C769EB"/>
    <w:rsid w:val="00C809AF"/>
    <w:rsid w:val="00C91C67"/>
    <w:rsid w:val="00C91D8E"/>
    <w:rsid w:val="00C937D3"/>
    <w:rsid w:val="00CA0EC9"/>
    <w:rsid w:val="00CA3CE0"/>
    <w:rsid w:val="00CA42CB"/>
    <w:rsid w:val="00CA758E"/>
    <w:rsid w:val="00CB0185"/>
    <w:rsid w:val="00CB3E43"/>
    <w:rsid w:val="00CB5D4A"/>
    <w:rsid w:val="00CB70C7"/>
    <w:rsid w:val="00CC1AD1"/>
    <w:rsid w:val="00CC1FC1"/>
    <w:rsid w:val="00CC39D4"/>
    <w:rsid w:val="00CC776F"/>
    <w:rsid w:val="00CD02CD"/>
    <w:rsid w:val="00CD6DFA"/>
    <w:rsid w:val="00CE41E7"/>
    <w:rsid w:val="00CF01C6"/>
    <w:rsid w:val="00D00E07"/>
    <w:rsid w:val="00D1742A"/>
    <w:rsid w:val="00D32FFB"/>
    <w:rsid w:val="00D34ABF"/>
    <w:rsid w:val="00D475D1"/>
    <w:rsid w:val="00D51C07"/>
    <w:rsid w:val="00D574BA"/>
    <w:rsid w:val="00D579B9"/>
    <w:rsid w:val="00D61FAE"/>
    <w:rsid w:val="00D62146"/>
    <w:rsid w:val="00D66674"/>
    <w:rsid w:val="00D7128E"/>
    <w:rsid w:val="00D7509E"/>
    <w:rsid w:val="00D76A47"/>
    <w:rsid w:val="00D81A9C"/>
    <w:rsid w:val="00D93C77"/>
    <w:rsid w:val="00D963AA"/>
    <w:rsid w:val="00D9777B"/>
    <w:rsid w:val="00DA220F"/>
    <w:rsid w:val="00DA36FB"/>
    <w:rsid w:val="00DA3F5A"/>
    <w:rsid w:val="00DA4312"/>
    <w:rsid w:val="00DB086E"/>
    <w:rsid w:val="00DB3A12"/>
    <w:rsid w:val="00DB4EBA"/>
    <w:rsid w:val="00DB5978"/>
    <w:rsid w:val="00DC0B8F"/>
    <w:rsid w:val="00DC2FFB"/>
    <w:rsid w:val="00DC5022"/>
    <w:rsid w:val="00DE0490"/>
    <w:rsid w:val="00DE227B"/>
    <w:rsid w:val="00DE4A71"/>
    <w:rsid w:val="00DE534A"/>
    <w:rsid w:val="00DE6654"/>
    <w:rsid w:val="00DF215F"/>
    <w:rsid w:val="00DF659E"/>
    <w:rsid w:val="00E0016F"/>
    <w:rsid w:val="00E01A55"/>
    <w:rsid w:val="00E0428A"/>
    <w:rsid w:val="00E04312"/>
    <w:rsid w:val="00E17519"/>
    <w:rsid w:val="00E24A73"/>
    <w:rsid w:val="00E24F8C"/>
    <w:rsid w:val="00E3005C"/>
    <w:rsid w:val="00E32C16"/>
    <w:rsid w:val="00E35B55"/>
    <w:rsid w:val="00E36418"/>
    <w:rsid w:val="00E40488"/>
    <w:rsid w:val="00E4344D"/>
    <w:rsid w:val="00E448E5"/>
    <w:rsid w:val="00E44B16"/>
    <w:rsid w:val="00E50EE7"/>
    <w:rsid w:val="00E52C11"/>
    <w:rsid w:val="00E66867"/>
    <w:rsid w:val="00E7038B"/>
    <w:rsid w:val="00E73C59"/>
    <w:rsid w:val="00E73D43"/>
    <w:rsid w:val="00E776F3"/>
    <w:rsid w:val="00E80706"/>
    <w:rsid w:val="00E8766C"/>
    <w:rsid w:val="00E9208A"/>
    <w:rsid w:val="00E958A1"/>
    <w:rsid w:val="00EA0B6C"/>
    <w:rsid w:val="00EA0C00"/>
    <w:rsid w:val="00EA2E19"/>
    <w:rsid w:val="00EC23EF"/>
    <w:rsid w:val="00EC3663"/>
    <w:rsid w:val="00EC6BBD"/>
    <w:rsid w:val="00EC7815"/>
    <w:rsid w:val="00ED0872"/>
    <w:rsid w:val="00ED1038"/>
    <w:rsid w:val="00ED1927"/>
    <w:rsid w:val="00ED1ED6"/>
    <w:rsid w:val="00ED3357"/>
    <w:rsid w:val="00ED4D1A"/>
    <w:rsid w:val="00ED5A59"/>
    <w:rsid w:val="00ED5CD9"/>
    <w:rsid w:val="00EE20DF"/>
    <w:rsid w:val="00EE29F6"/>
    <w:rsid w:val="00EE6482"/>
    <w:rsid w:val="00EF0205"/>
    <w:rsid w:val="00EF0BDD"/>
    <w:rsid w:val="00EF16A2"/>
    <w:rsid w:val="00EF20D6"/>
    <w:rsid w:val="00EF3F5B"/>
    <w:rsid w:val="00EF4502"/>
    <w:rsid w:val="00EF4BEC"/>
    <w:rsid w:val="00EF5A50"/>
    <w:rsid w:val="00EF630B"/>
    <w:rsid w:val="00F12B7D"/>
    <w:rsid w:val="00F13A58"/>
    <w:rsid w:val="00F1729F"/>
    <w:rsid w:val="00F24B03"/>
    <w:rsid w:val="00F25176"/>
    <w:rsid w:val="00F33729"/>
    <w:rsid w:val="00F36C3A"/>
    <w:rsid w:val="00F55F0B"/>
    <w:rsid w:val="00F6227F"/>
    <w:rsid w:val="00F81F55"/>
    <w:rsid w:val="00F87DD0"/>
    <w:rsid w:val="00FA1315"/>
    <w:rsid w:val="00FA2347"/>
    <w:rsid w:val="00FA7D5C"/>
    <w:rsid w:val="00FA7E21"/>
    <w:rsid w:val="00FB319F"/>
    <w:rsid w:val="00FB3BFD"/>
    <w:rsid w:val="00FB7425"/>
    <w:rsid w:val="00FC1C1B"/>
    <w:rsid w:val="00FC43A5"/>
    <w:rsid w:val="00FC47D6"/>
    <w:rsid w:val="00FD062F"/>
    <w:rsid w:val="00FD18EB"/>
    <w:rsid w:val="00FD2DCD"/>
    <w:rsid w:val="00FD662B"/>
    <w:rsid w:val="00FE007B"/>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570A17"/>
  <w15:docId w15:val="{61A686EA-3202-4F1C-838B-0591A438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312"/>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ED1927"/>
    <w:pPr>
      <w:numPr>
        <w:numId w:val="14"/>
      </w:numPr>
      <w:spacing w:after="240" w:line="240" w:lineRule="auto"/>
      <w:ind w:left="720" w:hanging="720"/>
      <w:jc w:val="both"/>
      <w:outlineLvl w:val="0"/>
    </w:pPr>
    <w:rPr>
      <w:rFonts w:ascii="Arial" w:eastAsia="Times New Roman" w:hAnsi="Arial"/>
      <w:b/>
      <w:caps/>
      <w:szCs w:val="20"/>
    </w:rPr>
  </w:style>
  <w:style w:type="paragraph" w:styleId="Heading2">
    <w:name w:val="heading 2"/>
    <w:basedOn w:val="Normal"/>
    <w:next w:val="Normal"/>
    <w:link w:val="Heading2Char"/>
    <w:qFormat/>
    <w:rsid w:val="00ED1927"/>
    <w:pPr>
      <w:numPr>
        <w:ilvl w:val="1"/>
        <w:numId w:val="14"/>
      </w:numPr>
      <w:spacing w:after="240" w:line="240" w:lineRule="auto"/>
      <w:ind w:left="720" w:hanging="720"/>
      <w:jc w:val="both"/>
      <w:outlineLvl w:val="1"/>
    </w:pPr>
    <w:rPr>
      <w:rFonts w:ascii="Arial" w:eastAsia="Times New Roman" w:hAnsi="Arial"/>
      <w:szCs w:val="20"/>
    </w:rPr>
  </w:style>
  <w:style w:type="paragraph" w:styleId="Heading3">
    <w:name w:val="heading 3"/>
    <w:basedOn w:val="Normal"/>
    <w:next w:val="Normal"/>
    <w:link w:val="Heading3Char"/>
    <w:qFormat/>
    <w:rsid w:val="00ED1927"/>
    <w:pPr>
      <w:numPr>
        <w:ilvl w:val="2"/>
        <w:numId w:val="14"/>
      </w:numPr>
      <w:spacing w:after="240" w:line="240" w:lineRule="auto"/>
      <w:ind w:left="1152" w:hanging="432"/>
      <w:jc w:val="both"/>
      <w:outlineLvl w:val="2"/>
    </w:pPr>
    <w:rPr>
      <w:rFonts w:ascii="Arial" w:eastAsia="Times New Roman" w:hAnsi="Arial"/>
      <w:szCs w:val="20"/>
    </w:rPr>
  </w:style>
  <w:style w:type="paragraph" w:styleId="Heading4">
    <w:name w:val="heading 4"/>
    <w:basedOn w:val="Normal"/>
    <w:next w:val="Normal"/>
    <w:link w:val="Heading4Char"/>
    <w:qFormat/>
    <w:rsid w:val="00ED1927"/>
    <w:pPr>
      <w:keepNext/>
      <w:numPr>
        <w:ilvl w:val="3"/>
        <w:numId w:val="14"/>
      </w:numPr>
      <w:spacing w:after="240" w:line="240" w:lineRule="auto"/>
      <w:ind w:left="720"/>
      <w:jc w:val="both"/>
      <w:outlineLvl w:val="3"/>
    </w:pPr>
    <w:rPr>
      <w:rFonts w:ascii="Arial" w:eastAsia="Times New Roman" w:hAnsi="Arial"/>
      <w:szCs w:val="20"/>
      <w:u w:val="single"/>
    </w:rPr>
  </w:style>
  <w:style w:type="paragraph" w:styleId="Heading5">
    <w:name w:val="heading 5"/>
    <w:basedOn w:val="Normal"/>
    <w:next w:val="Normal"/>
    <w:link w:val="Heading5Char"/>
    <w:qFormat/>
    <w:rsid w:val="00ED1927"/>
    <w:pPr>
      <w:numPr>
        <w:ilvl w:val="4"/>
        <w:numId w:val="14"/>
      </w:numPr>
      <w:spacing w:before="240" w:after="60" w:line="240" w:lineRule="auto"/>
      <w:jc w:val="both"/>
      <w:outlineLvl w:val="4"/>
    </w:pPr>
    <w:rPr>
      <w:rFonts w:ascii="Arial" w:eastAsia="Times New Roman" w:hAnsi="Arial"/>
      <w:szCs w:val="20"/>
    </w:rPr>
  </w:style>
  <w:style w:type="paragraph" w:styleId="Heading6">
    <w:name w:val="heading 6"/>
    <w:basedOn w:val="Normal"/>
    <w:next w:val="Normal"/>
    <w:link w:val="Heading6Char"/>
    <w:qFormat/>
    <w:rsid w:val="00ED1927"/>
    <w:pPr>
      <w:numPr>
        <w:ilvl w:val="5"/>
        <w:numId w:val="14"/>
      </w:numPr>
      <w:spacing w:before="240" w:after="60" w:line="240" w:lineRule="auto"/>
      <w:jc w:val="both"/>
      <w:outlineLvl w:val="5"/>
    </w:pPr>
    <w:rPr>
      <w:rFonts w:ascii="Arial" w:eastAsia="Times New Roman" w:hAnsi="Arial"/>
      <w:i/>
      <w:szCs w:val="20"/>
    </w:rPr>
  </w:style>
  <w:style w:type="paragraph" w:styleId="Heading7">
    <w:name w:val="heading 7"/>
    <w:basedOn w:val="Normal"/>
    <w:next w:val="Normal"/>
    <w:link w:val="Heading7Char"/>
    <w:qFormat/>
    <w:rsid w:val="00ED1927"/>
    <w:pPr>
      <w:numPr>
        <w:ilvl w:val="6"/>
        <w:numId w:val="14"/>
      </w:numPr>
      <w:spacing w:before="240" w:after="60" w:line="240" w:lineRule="auto"/>
      <w:jc w:val="both"/>
      <w:outlineLvl w:val="6"/>
    </w:pPr>
    <w:rPr>
      <w:rFonts w:ascii="Arial" w:eastAsia="Times New Roman" w:hAnsi="Arial"/>
      <w:szCs w:val="20"/>
    </w:rPr>
  </w:style>
  <w:style w:type="paragraph" w:styleId="Heading8">
    <w:name w:val="heading 8"/>
    <w:basedOn w:val="Normal"/>
    <w:next w:val="Normal"/>
    <w:link w:val="Heading8Char"/>
    <w:qFormat/>
    <w:rsid w:val="00ED1927"/>
    <w:pPr>
      <w:numPr>
        <w:ilvl w:val="7"/>
        <w:numId w:val="14"/>
      </w:numPr>
      <w:spacing w:before="240" w:after="60" w:line="240" w:lineRule="auto"/>
      <w:jc w:val="both"/>
      <w:outlineLvl w:val="7"/>
    </w:pPr>
    <w:rPr>
      <w:rFonts w:ascii="Arial" w:eastAsia="Times New Roman" w:hAnsi="Arial"/>
      <w:i/>
      <w:szCs w:val="20"/>
    </w:rPr>
  </w:style>
  <w:style w:type="paragraph" w:styleId="Heading9">
    <w:name w:val="heading 9"/>
    <w:basedOn w:val="Normal"/>
    <w:next w:val="Normal"/>
    <w:link w:val="Heading9Char"/>
    <w:qFormat/>
    <w:rsid w:val="00ED1927"/>
    <w:pPr>
      <w:numPr>
        <w:ilvl w:val="8"/>
        <w:numId w:val="14"/>
      </w:numPr>
      <w:spacing w:before="240" w:after="60" w:line="240" w:lineRule="auto"/>
      <w:jc w:val="both"/>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numbering" w:customStyle="1" w:styleId="Autonumbers">
    <w:name w:val="Autonumbers"/>
    <w:rsid w:val="008254DC"/>
    <w:pPr>
      <w:numPr>
        <w:numId w:val="2"/>
      </w:numPr>
    </w:pPr>
  </w:style>
  <w:style w:type="paragraph" w:styleId="BalloonText">
    <w:name w:val="Balloon Text"/>
    <w:basedOn w:val="Normal"/>
    <w:link w:val="BalloonTextChar"/>
    <w:uiPriority w:val="99"/>
    <w:semiHidden/>
    <w:unhideWhenUsed/>
    <w:rsid w:val="009318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1847"/>
    <w:rPr>
      <w:rFonts w:ascii="Tahoma" w:eastAsia="Calibri" w:hAnsi="Tahoma" w:cs="Tahoma"/>
      <w:sz w:val="16"/>
      <w:szCs w:val="16"/>
      <w:lang w:eastAsia="en-US"/>
    </w:rPr>
  </w:style>
  <w:style w:type="paragraph" w:styleId="ListParagraph">
    <w:name w:val="List Paragraph"/>
    <w:basedOn w:val="Normal"/>
    <w:uiPriority w:val="34"/>
    <w:qFormat/>
    <w:rsid w:val="00A209DC"/>
    <w:pPr>
      <w:ind w:left="720"/>
      <w:contextualSpacing/>
    </w:pPr>
  </w:style>
  <w:style w:type="paragraph" w:styleId="Title">
    <w:name w:val="Title"/>
    <w:basedOn w:val="Normal"/>
    <w:next w:val="Normal"/>
    <w:link w:val="TitleChar"/>
    <w:uiPriority w:val="10"/>
    <w:qFormat/>
    <w:rsid w:val="004A27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27EE"/>
    <w:rPr>
      <w:rFonts w:asciiTheme="majorHAnsi" w:eastAsiaTheme="majorEastAsia" w:hAnsiTheme="majorHAnsi" w:cstheme="majorBidi"/>
      <w:spacing w:val="-10"/>
      <w:kern w:val="28"/>
      <w:sz w:val="56"/>
      <w:szCs w:val="56"/>
      <w:lang w:eastAsia="en-US"/>
    </w:rPr>
  </w:style>
  <w:style w:type="table" w:styleId="TableGrid">
    <w:name w:val="Table Grid"/>
    <w:basedOn w:val="TableNormal"/>
    <w:uiPriority w:val="59"/>
    <w:rsid w:val="00C15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D6545"/>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1657EE"/>
    <w:rPr>
      <w:sz w:val="16"/>
      <w:szCs w:val="16"/>
    </w:rPr>
  </w:style>
  <w:style w:type="paragraph" w:styleId="CommentText">
    <w:name w:val="annotation text"/>
    <w:basedOn w:val="Normal"/>
    <w:link w:val="CommentTextChar"/>
    <w:uiPriority w:val="99"/>
    <w:semiHidden/>
    <w:unhideWhenUsed/>
    <w:rsid w:val="001657EE"/>
    <w:pPr>
      <w:spacing w:line="240" w:lineRule="auto"/>
    </w:pPr>
    <w:rPr>
      <w:sz w:val="20"/>
      <w:szCs w:val="20"/>
    </w:rPr>
  </w:style>
  <w:style w:type="character" w:customStyle="1" w:styleId="CommentTextChar">
    <w:name w:val="Comment Text Char"/>
    <w:basedOn w:val="DefaultParagraphFont"/>
    <w:link w:val="CommentText"/>
    <w:uiPriority w:val="99"/>
    <w:semiHidden/>
    <w:rsid w:val="001657EE"/>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1657EE"/>
    <w:rPr>
      <w:b/>
      <w:bCs/>
    </w:rPr>
  </w:style>
  <w:style w:type="character" w:customStyle="1" w:styleId="CommentSubjectChar">
    <w:name w:val="Comment Subject Char"/>
    <w:basedOn w:val="CommentTextChar"/>
    <w:link w:val="CommentSubject"/>
    <w:uiPriority w:val="99"/>
    <w:semiHidden/>
    <w:rsid w:val="001657EE"/>
    <w:rPr>
      <w:rFonts w:ascii="Calibri" w:eastAsia="Calibri" w:hAnsi="Calibri"/>
      <w:b/>
      <w:bCs/>
      <w:lang w:eastAsia="en-US"/>
    </w:rPr>
  </w:style>
  <w:style w:type="character" w:customStyle="1" w:styleId="Heading1Char">
    <w:name w:val="Heading 1 Char"/>
    <w:basedOn w:val="DefaultParagraphFont"/>
    <w:link w:val="Heading1"/>
    <w:rsid w:val="00ED1927"/>
    <w:rPr>
      <w:rFonts w:ascii="Arial" w:hAnsi="Arial"/>
      <w:b/>
      <w:caps/>
      <w:sz w:val="22"/>
      <w:lang w:eastAsia="en-US"/>
    </w:rPr>
  </w:style>
  <w:style w:type="character" w:customStyle="1" w:styleId="Heading2Char">
    <w:name w:val="Heading 2 Char"/>
    <w:basedOn w:val="DefaultParagraphFont"/>
    <w:link w:val="Heading2"/>
    <w:rsid w:val="00ED1927"/>
    <w:rPr>
      <w:rFonts w:ascii="Arial" w:hAnsi="Arial"/>
      <w:sz w:val="22"/>
      <w:lang w:eastAsia="en-US"/>
    </w:rPr>
  </w:style>
  <w:style w:type="character" w:customStyle="1" w:styleId="Heading3Char">
    <w:name w:val="Heading 3 Char"/>
    <w:basedOn w:val="DefaultParagraphFont"/>
    <w:link w:val="Heading3"/>
    <w:rsid w:val="00ED1927"/>
    <w:rPr>
      <w:rFonts w:ascii="Arial" w:hAnsi="Arial"/>
      <w:sz w:val="22"/>
      <w:lang w:eastAsia="en-US"/>
    </w:rPr>
  </w:style>
  <w:style w:type="character" w:customStyle="1" w:styleId="Heading4Char">
    <w:name w:val="Heading 4 Char"/>
    <w:basedOn w:val="DefaultParagraphFont"/>
    <w:link w:val="Heading4"/>
    <w:rsid w:val="00ED1927"/>
    <w:rPr>
      <w:rFonts w:ascii="Arial" w:hAnsi="Arial"/>
      <w:sz w:val="22"/>
      <w:u w:val="single"/>
      <w:lang w:eastAsia="en-US"/>
    </w:rPr>
  </w:style>
  <w:style w:type="character" w:customStyle="1" w:styleId="Heading5Char">
    <w:name w:val="Heading 5 Char"/>
    <w:basedOn w:val="DefaultParagraphFont"/>
    <w:link w:val="Heading5"/>
    <w:rsid w:val="00ED1927"/>
    <w:rPr>
      <w:rFonts w:ascii="Arial" w:hAnsi="Arial"/>
      <w:sz w:val="22"/>
      <w:lang w:eastAsia="en-US"/>
    </w:rPr>
  </w:style>
  <w:style w:type="character" w:customStyle="1" w:styleId="Heading6Char">
    <w:name w:val="Heading 6 Char"/>
    <w:basedOn w:val="DefaultParagraphFont"/>
    <w:link w:val="Heading6"/>
    <w:rsid w:val="00ED1927"/>
    <w:rPr>
      <w:rFonts w:ascii="Arial" w:hAnsi="Arial"/>
      <w:i/>
      <w:sz w:val="22"/>
      <w:lang w:eastAsia="en-US"/>
    </w:rPr>
  </w:style>
  <w:style w:type="character" w:customStyle="1" w:styleId="Heading7Char">
    <w:name w:val="Heading 7 Char"/>
    <w:basedOn w:val="DefaultParagraphFont"/>
    <w:link w:val="Heading7"/>
    <w:rsid w:val="00ED1927"/>
    <w:rPr>
      <w:rFonts w:ascii="Arial" w:hAnsi="Arial"/>
      <w:sz w:val="22"/>
      <w:lang w:eastAsia="en-US"/>
    </w:rPr>
  </w:style>
  <w:style w:type="character" w:customStyle="1" w:styleId="Heading8Char">
    <w:name w:val="Heading 8 Char"/>
    <w:basedOn w:val="DefaultParagraphFont"/>
    <w:link w:val="Heading8"/>
    <w:rsid w:val="00ED1927"/>
    <w:rPr>
      <w:rFonts w:ascii="Arial" w:hAnsi="Arial"/>
      <w:i/>
      <w:sz w:val="22"/>
      <w:lang w:eastAsia="en-US"/>
    </w:rPr>
  </w:style>
  <w:style w:type="character" w:customStyle="1" w:styleId="Heading9Char">
    <w:name w:val="Heading 9 Char"/>
    <w:basedOn w:val="DefaultParagraphFont"/>
    <w:link w:val="Heading9"/>
    <w:rsid w:val="00ED1927"/>
    <w:rPr>
      <w:rFonts w:ascii="Arial" w:hAnsi="Arial"/>
      <w:i/>
      <w:sz w:val="18"/>
      <w:lang w:eastAsia="en-US"/>
    </w:rPr>
  </w:style>
  <w:style w:type="paragraph" w:customStyle="1" w:styleId="xmsonormal">
    <w:name w:val="x_msonormal"/>
    <w:basedOn w:val="Normal"/>
    <w:rsid w:val="00192CF7"/>
    <w:pPr>
      <w:spacing w:after="0" w:line="240" w:lineRule="auto"/>
    </w:pPr>
    <w:rPr>
      <w:rFonts w:eastAsiaTheme="minorHAnsi" w:cs="Calibri"/>
      <w:lang w:eastAsia="en-GB"/>
    </w:rPr>
  </w:style>
  <w:style w:type="paragraph" w:styleId="Revision">
    <w:name w:val="Revision"/>
    <w:hidden/>
    <w:uiPriority w:val="99"/>
    <w:semiHidden/>
    <w:rsid w:val="0048005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2620">
      <w:bodyDiv w:val="1"/>
      <w:marLeft w:val="0"/>
      <w:marRight w:val="0"/>
      <w:marTop w:val="0"/>
      <w:marBottom w:val="0"/>
      <w:divBdr>
        <w:top w:val="none" w:sz="0" w:space="0" w:color="auto"/>
        <w:left w:val="none" w:sz="0" w:space="0" w:color="auto"/>
        <w:bottom w:val="none" w:sz="0" w:space="0" w:color="auto"/>
        <w:right w:val="none" w:sz="0" w:space="0" w:color="auto"/>
      </w:divBdr>
    </w:div>
    <w:div w:id="121508993">
      <w:bodyDiv w:val="1"/>
      <w:marLeft w:val="0"/>
      <w:marRight w:val="0"/>
      <w:marTop w:val="0"/>
      <w:marBottom w:val="0"/>
      <w:divBdr>
        <w:top w:val="none" w:sz="0" w:space="0" w:color="auto"/>
        <w:left w:val="none" w:sz="0" w:space="0" w:color="auto"/>
        <w:bottom w:val="none" w:sz="0" w:space="0" w:color="auto"/>
        <w:right w:val="none" w:sz="0" w:space="0" w:color="auto"/>
      </w:divBdr>
    </w:div>
    <w:div w:id="264580346">
      <w:bodyDiv w:val="1"/>
      <w:marLeft w:val="0"/>
      <w:marRight w:val="0"/>
      <w:marTop w:val="0"/>
      <w:marBottom w:val="0"/>
      <w:divBdr>
        <w:top w:val="none" w:sz="0" w:space="0" w:color="auto"/>
        <w:left w:val="none" w:sz="0" w:space="0" w:color="auto"/>
        <w:bottom w:val="none" w:sz="0" w:space="0" w:color="auto"/>
        <w:right w:val="none" w:sz="0" w:space="0" w:color="auto"/>
      </w:divBdr>
    </w:div>
    <w:div w:id="309868591">
      <w:bodyDiv w:val="1"/>
      <w:marLeft w:val="0"/>
      <w:marRight w:val="0"/>
      <w:marTop w:val="0"/>
      <w:marBottom w:val="0"/>
      <w:divBdr>
        <w:top w:val="none" w:sz="0" w:space="0" w:color="auto"/>
        <w:left w:val="none" w:sz="0" w:space="0" w:color="auto"/>
        <w:bottom w:val="none" w:sz="0" w:space="0" w:color="auto"/>
        <w:right w:val="none" w:sz="0" w:space="0" w:color="auto"/>
      </w:divBdr>
    </w:div>
    <w:div w:id="316958126">
      <w:bodyDiv w:val="1"/>
      <w:marLeft w:val="0"/>
      <w:marRight w:val="0"/>
      <w:marTop w:val="0"/>
      <w:marBottom w:val="0"/>
      <w:divBdr>
        <w:top w:val="none" w:sz="0" w:space="0" w:color="auto"/>
        <w:left w:val="none" w:sz="0" w:space="0" w:color="auto"/>
        <w:bottom w:val="none" w:sz="0" w:space="0" w:color="auto"/>
        <w:right w:val="none" w:sz="0" w:space="0" w:color="auto"/>
      </w:divBdr>
    </w:div>
    <w:div w:id="455150187">
      <w:bodyDiv w:val="1"/>
      <w:marLeft w:val="0"/>
      <w:marRight w:val="0"/>
      <w:marTop w:val="0"/>
      <w:marBottom w:val="0"/>
      <w:divBdr>
        <w:top w:val="none" w:sz="0" w:space="0" w:color="auto"/>
        <w:left w:val="none" w:sz="0" w:space="0" w:color="auto"/>
        <w:bottom w:val="none" w:sz="0" w:space="0" w:color="auto"/>
        <w:right w:val="none" w:sz="0" w:space="0" w:color="auto"/>
      </w:divBdr>
    </w:div>
    <w:div w:id="576941626">
      <w:bodyDiv w:val="1"/>
      <w:marLeft w:val="0"/>
      <w:marRight w:val="0"/>
      <w:marTop w:val="0"/>
      <w:marBottom w:val="0"/>
      <w:divBdr>
        <w:top w:val="none" w:sz="0" w:space="0" w:color="auto"/>
        <w:left w:val="none" w:sz="0" w:space="0" w:color="auto"/>
        <w:bottom w:val="none" w:sz="0" w:space="0" w:color="auto"/>
        <w:right w:val="none" w:sz="0" w:space="0" w:color="auto"/>
      </w:divBdr>
    </w:div>
    <w:div w:id="839781743">
      <w:bodyDiv w:val="1"/>
      <w:marLeft w:val="0"/>
      <w:marRight w:val="0"/>
      <w:marTop w:val="0"/>
      <w:marBottom w:val="0"/>
      <w:divBdr>
        <w:top w:val="none" w:sz="0" w:space="0" w:color="auto"/>
        <w:left w:val="none" w:sz="0" w:space="0" w:color="auto"/>
        <w:bottom w:val="none" w:sz="0" w:space="0" w:color="auto"/>
        <w:right w:val="none" w:sz="0" w:space="0" w:color="auto"/>
      </w:divBdr>
    </w:div>
    <w:div w:id="1040519081">
      <w:bodyDiv w:val="1"/>
      <w:marLeft w:val="0"/>
      <w:marRight w:val="0"/>
      <w:marTop w:val="0"/>
      <w:marBottom w:val="0"/>
      <w:divBdr>
        <w:top w:val="none" w:sz="0" w:space="0" w:color="auto"/>
        <w:left w:val="none" w:sz="0" w:space="0" w:color="auto"/>
        <w:bottom w:val="none" w:sz="0" w:space="0" w:color="auto"/>
        <w:right w:val="none" w:sz="0" w:space="0" w:color="auto"/>
      </w:divBdr>
    </w:div>
    <w:div w:id="1310552172">
      <w:bodyDiv w:val="1"/>
      <w:marLeft w:val="0"/>
      <w:marRight w:val="0"/>
      <w:marTop w:val="0"/>
      <w:marBottom w:val="0"/>
      <w:divBdr>
        <w:top w:val="none" w:sz="0" w:space="0" w:color="auto"/>
        <w:left w:val="none" w:sz="0" w:space="0" w:color="auto"/>
        <w:bottom w:val="none" w:sz="0" w:space="0" w:color="auto"/>
        <w:right w:val="none" w:sz="0" w:space="0" w:color="auto"/>
      </w:divBdr>
    </w:div>
    <w:div w:id="1452240586">
      <w:bodyDiv w:val="1"/>
      <w:marLeft w:val="0"/>
      <w:marRight w:val="0"/>
      <w:marTop w:val="0"/>
      <w:marBottom w:val="0"/>
      <w:divBdr>
        <w:top w:val="none" w:sz="0" w:space="0" w:color="auto"/>
        <w:left w:val="none" w:sz="0" w:space="0" w:color="auto"/>
        <w:bottom w:val="none" w:sz="0" w:space="0" w:color="auto"/>
        <w:right w:val="none" w:sz="0" w:space="0" w:color="auto"/>
      </w:divBdr>
    </w:div>
    <w:div w:id="1522553199">
      <w:bodyDiv w:val="1"/>
      <w:marLeft w:val="0"/>
      <w:marRight w:val="0"/>
      <w:marTop w:val="0"/>
      <w:marBottom w:val="0"/>
      <w:divBdr>
        <w:top w:val="none" w:sz="0" w:space="0" w:color="auto"/>
        <w:left w:val="none" w:sz="0" w:space="0" w:color="auto"/>
        <w:bottom w:val="none" w:sz="0" w:space="0" w:color="auto"/>
        <w:right w:val="none" w:sz="0" w:space="0" w:color="auto"/>
      </w:divBdr>
    </w:div>
    <w:div w:id="174110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7037E-153B-4114-A216-6F3A6973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4067</Words>
  <Characters>22574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26588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taylor</dc:creator>
  <cp:lastModifiedBy>Elaine Holmes</cp:lastModifiedBy>
  <cp:revision>3</cp:revision>
  <cp:lastPrinted>2021-09-14T10:27:00Z</cp:lastPrinted>
  <dcterms:created xsi:type="dcterms:W3CDTF">2021-10-11T07:15:00Z</dcterms:created>
  <dcterms:modified xsi:type="dcterms:W3CDTF">2021-10-11T07:15:00Z</dcterms:modified>
</cp:coreProperties>
</file>